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79D2D" w14:textId="6EC95AE5" w:rsidR="00A7704F" w:rsidRDefault="009D489B" w:rsidP="00A7704F">
      <w:r w:rsidRPr="00D93DC7">
        <w:rPr>
          <w:noProof/>
          <w:lang w:val="pt-BR" w:eastAsia="pt-BR"/>
        </w:rPr>
        <w:drawing>
          <wp:anchor distT="0" distB="0" distL="114300" distR="114300" simplePos="0" relativeHeight="251639808" behindDoc="1" locked="0" layoutInCell="1" allowOverlap="1" wp14:anchorId="783C3EB1" wp14:editId="3A3DF607">
            <wp:simplePos x="0" y="0"/>
            <wp:positionH relativeFrom="margin">
              <wp:posOffset>601599</wp:posOffset>
            </wp:positionH>
            <wp:positionV relativeFrom="paragraph">
              <wp:posOffset>218770</wp:posOffset>
            </wp:positionV>
            <wp:extent cx="2324100" cy="567690"/>
            <wp:effectExtent l="0" t="0" r="0" b="3810"/>
            <wp:wrapTight wrapText="bothSides">
              <wp:wrapPolygon edited="0">
                <wp:start x="0" y="0"/>
                <wp:lineTo x="0" y="21020"/>
                <wp:lineTo x="21423" y="21020"/>
                <wp:lineTo x="21423" y="0"/>
                <wp:lineTo x="0" y="0"/>
              </wp:wrapPolygon>
            </wp:wrapTight>
            <wp:docPr id="1" name="Picture 1" descr="C:\Users\UNIDO CPP\Documents\Network of centers\PCREEE\Website\PCRE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DO CPP\Documents\Network of centers\PCREEE\Website\PCREEE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800"/>
                    <a:stretch/>
                  </pic:blipFill>
                  <pic:spPr bwMode="auto">
                    <a:xfrm>
                      <a:off x="0" y="0"/>
                      <a:ext cx="232410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4F">
        <w:rPr>
          <w:rFonts w:ascii="Arial" w:hAnsi="Arial" w:cs="Arial"/>
          <w:noProof/>
          <w:color w:val="2962FF"/>
          <w:sz w:val="20"/>
          <w:szCs w:val="20"/>
          <w:lang w:val="pt-BR" w:eastAsia="pt-BR"/>
        </w:rPr>
        <w:drawing>
          <wp:anchor distT="0" distB="0" distL="114300" distR="114300" simplePos="0" relativeHeight="251674624" behindDoc="0" locked="0" layoutInCell="1" allowOverlap="1" wp14:anchorId="761434F2" wp14:editId="00400FEB">
            <wp:simplePos x="0" y="0"/>
            <wp:positionH relativeFrom="column">
              <wp:posOffset>3257753</wp:posOffset>
            </wp:positionH>
            <wp:positionV relativeFrom="paragraph">
              <wp:posOffset>204825</wp:posOffset>
            </wp:positionV>
            <wp:extent cx="1381125" cy="591820"/>
            <wp:effectExtent l="0" t="0" r="9525" b="0"/>
            <wp:wrapThrough wrapText="bothSides">
              <wp:wrapPolygon edited="0">
                <wp:start x="0" y="0"/>
                <wp:lineTo x="0" y="20858"/>
                <wp:lineTo x="21451" y="20858"/>
                <wp:lineTo x="21451" y="0"/>
                <wp:lineTo x="0" y="0"/>
              </wp:wrapPolygon>
            </wp:wrapThrough>
            <wp:docPr id="14" name="Picture 14" descr="Jobs at SPC - Pacific Community">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 at SPC - Pacific Communit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743" w:rsidRPr="000C13D7">
        <w:rPr>
          <w:rFonts w:cstheme="minorHAnsi"/>
          <w:bCs/>
          <w:color w:val="4472C4" w:themeColor="accent1"/>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2D95A42F" w14:textId="77777777" w:rsidR="00A7704F" w:rsidRDefault="00A7704F" w:rsidP="00A7704F">
      <w:pPr>
        <w:spacing w:line="276" w:lineRule="auto"/>
        <w:rPr>
          <w:rFonts w:asciiTheme="majorHAnsi" w:hAnsiTheme="majorHAnsi" w:cstheme="majorHAnsi"/>
          <w:b/>
          <w:bCs/>
          <w:color w:val="00206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C87AEF" w14:textId="77777777" w:rsidR="00A7704F" w:rsidRPr="00732166" w:rsidRDefault="00A7704F" w:rsidP="00A7704F">
      <w:pPr>
        <w:spacing w:line="276" w:lineRule="auto"/>
        <w:jc w:val="center"/>
        <w:rPr>
          <w:rFonts w:asciiTheme="majorHAnsi" w:hAnsiTheme="majorHAnsi" w:cstheme="majorHAnsi"/>
          <w:b/>
          <w:bCs/>
          <w:color w:val="002060"/>
          <w:sz w:val="18"/>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211731" w14:textId="0F8A9CA7" w:rsidR="00A7704F" w:rsidRPr="00181092" w:rsidRDefault="00A7704F" w:rsidP="00181092">
      <w:pPr>
        <w:spacing w:line="240" w:lineRule="auto"/>
        <w:jc w:val="center"/>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1092">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Draft Regional </w:t>
      </w:r>
      <w:r w:rsidR="00CF71AD">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Electric Mobility Policy for </w:t>
      </w:r>
      <w:r w:rsidR="00CF71AD">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81092">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Pacific Island Countries and Territories (PICTs) </w:t>
      </w:r>
      <w:r w:rsidR="000F6AFC">
        <w:rPr>
          <w:rFonts w:ascii="Calibri" w:hAnsi="Calibri" w:cs="Calibri"/>
          <w:b/>
          <w:bCs/>
          <w:color w:val="002060"/>
          <w:sz w:val="32"/>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Validation</w:t>
      </w:r>
    </w:p>
    <w:p w14:paraId="3E8369A6" w14:textId="77777777" w:rsidR="00A7704F" w:rsidRDefault="00A7704F" w:rsidP="00A7704F">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78DDA5" w14:textId="77777777" w:rsidR="00A7704F" w:rsidRPr="00696353" w:rsidRDefault="00A7704F" w:rsidP="00A7704F">
      <w:pPr>
        <w:spacing w:line="276" w:lineRule="auto"/>
        <w:jc w:val="center"/>
        <w:rPr>
          <w:rFonts w:asciiTheme="majorHAnsi" w:hAnsiTheme="majorHAnsi" w:cstheme="majorHAnsi"/>
          <w:b/>
          <w:bCs/>
          <w:i/>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i/>
        </w:rPr>
        <w:t>Prepared as follow-up to the decisions of the Fourth Pacific Regional Energy and Transport Ministers’ Meeting, held from 18 to 20 September 2019, in Apia, Samoa</w:t>
      </w:r>
    </w:p>
    <w:p w14:paraId="01DBE2B4" w14:textId="2F275883" w:rsidR="00A7704F" w:rsidRDefault="00A7704F" w:rsidP="00A7704F">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7B6F29" w14:textId="01643C02" w:rsidR="00C91DE3" w:rsidRDefault="00C91DE3" w:rsidP="00A7704F">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5ED078" w14:textId="77777777" w:rsidR="00C91DE3" w:rsidRDefault="00C91DE3" w:rsidP="00A7704F">
      <w:pPr>
        <w:spacing w:line="276" w:lineRule="auto"/>
        <w:jc w:val="center"/>
        <w:rPr>
          <w:rFonts w:asciiTheme="majorHAnsi" w:hAnsiTheme="majorHAnsi" w:cstheme="majorHAnsi"/>
          <w:b/>
          <w:bCs/>
          <w:color w:val="002060"/>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59A29B" w14:textId="112BA197" w:rsidR="00A7704F" w:rsidRDefault="00A7704F" w:rsidP="00194394">
      <w:pPr>
        <w:spacing w:after="120"/>
        <w:ind w:left="426" w:hanging="426"/>
        <w:jc w:val="center"/>
        <w:rPr>
          <w:rFonts w:asciiTheme="majorHAnsi" w:hAnsiTheme="majorHAnsi" w:cstheme="majorHAnsi"/>
          <w:sz w:val="10"/>
          <w:szCs w:val="10"/>
        </w:rPr>
      </w:pPr>
    </w:p>
    <w:p w14:paraId="66BFD44C" w14:textId="384E03BB" w:rsidR="00A7704F" w:rsidRDefault="00381ACB" w:rsidP="00092925">
      <w:pPr>
        <w:spacing w:after="120"/>
        <w:ind w:left="426" w:hanging="426"/>
        <w:jc w:val="center"/>
        <w:rPr>
          <w:rFonts w:asciiTheme="majorHAnsi" w:hAnsiTheme="majorHAnsi" w:cstheme="majorHAnsi"/>
          <w:sz w:val="10"/>
          <w:szCs w:val="10"/>
        </w:rPr>
      </w:pPr>
      <w:r>
        <w:rPr>
          <w:rFonts w:asciiTheme="majorHAnsi" w:hAnsiTheme="majorHAnsi" w:cstheme="majorHAnsi"/>
          <w:noProof/>
          <w:sz w:val="10"/>
          <w:szCs w:val="10"/>
        </w:rPr>
        <w:drawing>
          <wp:inline distT="0" distB="0" distL="0" distR="0" wp14:anchorId="3BD26A5B" wp14:editId="30165719">
            <wp:extent cx="4439964" cy="2607310"/>
            <wp:effectExtent l="361950" t="400050" r="417830" b="383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4929" cy="261609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8404618" w14:textId="77777777" w:rsidR="00A7704F" w:rsidRDefault="00A7704F" w:rsidP="00A7704F">
      <w:pPr>
        <w:spacing w:after="120"/>
        <w:ind w:left="426" w:hanging="426"/>
        <w:rPr>
          <w:rFonts w:asciiTheme="majorHAnsi" w:hAnsiTheme="majorHAnsi" w:cstheme="majorHAnsi"/>
          <w:sz w:val="10"/>
          <w:szCs w:val="10"/>
        </w:rPr>
      </w:pPr>
    </w:p>
    <w:p w14:paraId="04CDEDE6" w14:textId="77777777" w:rsidR="00A7704F" w:rsidRDefault="00A7704F" w:rsidP="00A7704F">
      <w:pPr>
        <w:spacing w:after="120"/>
        <w:ind w:left="426" w:hanging="426"/>
        <w:rPr>
          <w:rFonts w:asciiTheme="majorHAnsi" w:hAnsiTheme="majorHAnsi" w:cstheme="majorHAnsi"/>
          <w:sz w:val="10"/>
          <w:szCs w:val="10"/>
        </w:rPr>
      </w:pPr>
    </w:p>
    <w:p w14:paraId="6B2C4899" w14:textId="77777777" w:rsidR="00A7704F" w:rsidRDefault="00A7704F" w:rsidP="00A7704F">
      <w:pPr>
        <w:spacing w:after="120"/>
        <w:ind w:left="426" w:hanging="426"/>
        <w:rPr>
          <w:rFonts w:asciiTheme="majorHAnsi" w:hAnsiTheme="majorHAnsi" w:cstheme="majorHAnsi"/>
          <w:sz w:val="10"/>
          <w:szCs w:val="10"/>
        </w:rPr>
      </w:pPr>
    </w:p>
    <w:p w14:paraId="1CEA10B1" w14:textId="77777777" w:rsidR="00A7704F" w:rsidRDefault="00A7704F" w:rsidP="00A7704F">
      <w:pPr>
        <w:spacing w:after="120"/>
        <w:ind w:left="426" w:hanging="426"/>
        <w:rPr>
          <w:rFonts w:asciiTheme="majorHAnsi" w:hAnsiTheme="majorHAnsi" w:cstheme="majorHAnsi"/>
          <w:sz w:val="10"/>
          <w:szCs w:val="10"/>
        </w:rPr>
      </w:pPr>
    </w:p>
    <w:p w14:paraId="5A8F1A8F" w14:textId="77777777" w:rsidR="00A7704F" w:rsidRDefault="00A7704F" w:rsidP="00A7704F">
      <w:pPr>
        <w:spacing w:after="120"/>
        <w:ind w:left="426" w:hanging="426"/>
        <w:rPr>
          <w:rFonts w:asciiTheme="majorHAnsi" w:hAnsiTheme="majorHAnsi" w:cstheme="majorHAnsi"/>
          <w:sz w:val="10"/>
          <w:szCs w:val="10"/>
        </w:rPr>
      </w:pPr>
    </w:p>
    <w:p w14:paraId="3EFACBFF" w14:textId="531164B3" w:rsidR="00A7704F" w:rsidRPr="00696353" w:rsidRDefault="00A7704F" w:rsidP="00A7704F">
      <w:pPr>
        <w:spacing w:line="276" w:lineRule="auto"/>
        <w:jc w:val="center"/>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Draft Version, </w:t>
      </w:r>
      <w:r w:rsidR="00381ACB">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E46B1F">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381ACB">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w:t>
      </w: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w:t>
      </w:r>
    </w:p>
    <w:p w14:paraId="3670CCA1" w14:textId="77777777" w:rsidR="00A7704F" w:rsidRPr="00696353" w:rsidRDefault="00A7704F" w:rsidP="00A7704F">
      <w:pPr>
        <w:spacing w:line="276" w:lineRule="auto"/>
        <w:jc w:val="center"/>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6353">
        <w:rPr>
          <w:rFonts w:asciiTheme="majorHAnsi" w:hAnsiTheme="majorHAnsi" w:cstheme="majorHAnsi"/>
          <w:b/>
          <w:bCs/>
          <w:color w:val="00206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be validated in a regional validation workshop</w:t>
      </w:r>
      <w: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to be organized by PCREEE/SPC and UNIDO </w:t>
      </w:r>
    </w:p>
    <w:p w14:paraId="206711E9" w14:textId="77777777" w:rsidR="00A7704F" w:rsidRDefault="00A7704F" w:rsidP="00A7704F">
      <w:pPr>
        <w:spacing w:line="276" w:lineRule="auto"/>
        <w:jc w:val="cente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47CF48" w14:textId="77777777" w:rsidR="00A7704F" w:rsidRDefault="00A7704F" w:rsidP="00A7704F">
      <w:pPr>
        <w:spacing w:line="276" w:lineRule="auto"/>
        <w:jc w:val="center"/>
        <w:rPr>
          <w:rFonts w:asciiTheme="majorHAnsi" w:hAnsiTheme="majorHAnsi" w:cstheme="majorHAnsi"/>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E7B281" w14:textId="77777777" w:rsidR="00A7704F" w:rsidRDefault="009D489B" w:rsidP="00A7704F">
      <w:pPr>
        <w:rPr>
          <w:rFonts w:asciiTheme="majorHAnsi" w:hAnsiTheme="majorHAnsi" w:cstheme="majorHAnsi"/>
        </w:rPr>
      </w:pPr>
      <w:r w:rsidRPr="006806D1">
        <w:rPr>
          <w:rFonts w:asciiTheme="majorHAnsi" w:hAnsiTheme="majorHAnsi" w:cstheme="majorHAnsi"/>
          <w:b/>
          <w:noProof/>
          <w:lang w:val="pt-BR" w:eastAsia="pt-BR"/>
        </w:rPr>
        <w:lastRenderedPageBreak/>
        <w:drawing>
          <wp:anchor distT="0" distB="0" distL="114300" distR="114300" simplePos="0" relativeHeight="251680768" behindDoc="1" locked="0" layoutInCell="1" allowOverlap="1" wp14:anchorId="46365114" wp14:editId="2CD14C2D">
            <wp:simplePos x="0" y="0"/>
            <wp:positionH relativeFrom="column">
              <wp:posOffset>37694</wp:posOffset>
            </wp:positionH>
            <wp:positionV relativeFrom="paragraph">
              <wp:posOffset>2540</wp:posOffset>
            </wp:positionV>
            <wp:extent cx="2716264" cy="1219200"/>
            <wp:effectExtent l="323850" t="323850" r="332105" b="323850"/>
            <wp:wrapTight wrapText="bothSides">
              <wp:wrapPolygon edited="0">
                <wp:start x="1667" y="-5738"/>
                <wp:lineTo x="-2121" y="-5063"/>
                <wp:lineTo x="-2576" y="5738"/>
                <wp:lineTo x="-2424" y="22275"/>
                <wp:lineTo x="-303" y="26325"/>
                <wp:lineTo x="-152" y="27000"/>
                <wp:lineTo x="20151" y="27000"/>
                <wp:lineTo x="20302" y="26325"/>
                <wp:lineTo x="23484" y="22275"/>
                <wp:lineTo x="23484" y="21938"/>
                <wp:lineTo x="24090" y="16538"/>
                <wp:lineTo x="24090" y="338"/>
                <wp:lineTo x="21817" y="-4725"/>
                <wp:lineTo x="21666" y="-5738"/>
                <wp:lineTo x="1667" y="-5738"/>
              </wp:wrapPolygon>
            </wp:wrapTight>
            <wp:docPr id="19" name="Picture 19" descr="C:\Users\UNIDO CPP\Desktop\GN-SEC map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DO CPP\Desktop\GN-SEC map lar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264" cy="1219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B7E54A" w14:textId="77777777" w:rsidR="00A7704F" w:rsidRDefault="00A7704F" w:rsidP="00A7704F">
      <w:pPr>
        <w:rPr>
          <w:rFonts w:asciiTheme="majorHAnsi" w:hAnsiTheme="majorHAnsi" w:cstheme="majorHAnsi"/>
          <w:b/>
        </w:rPr>
      </w:pPr>
    </w:p>
    <w:p w14:paraId="43E42D56" w14:textId="77777777" w:rsidR="00A7704F" w:rsidRDefault="00A7704F" w:rsidP="00A7704F">
      <w:pPr>
        <w:rPr>
          <w:rFonts w:asciiTheme="majorHAnsi" w:hAnsiTheme="majorHAnsi" w:cstheme="majorHAnsi"/>
          <w:b/>
        </w:rPr>
      </w:pPr>
    </w:p>
    <w:p w14:paraId="23AC13D6" w14:textId="77777777" w:rsidR="00A7704F" w:rsidRDefault="00A7704F" w:rsidP="00A7704F">
      <w:pPr>
        <w:rPr>
          <w:rFonts w:asciiTheme="majorHAnsi" w:hAnsiTheme="majorHAnsi" w:cstheme="majorHAnsi"/>
          <w:b/>
        </w:rPr>
      </w:pPr>
    </w:p>
    <w:p w14:paraId="1B81B92F" w14:textId="77777777" w:rsidR="00A7704F" w:rsidRDefault="00A7704F" w:rsidP="00A7704F">
      <w:pPr>
        <w:rPr>
          <w:rFonts w:asciiTheme="majorHAnsi" w:hAnsiTheme="majorHAnsi" w:cstheme="majorHAnsi"/>
          <w:b/>
        </w:rPr>
      </w:pPr>
    </w:p>
    <w:p w14:paraId="5AA9FBA4" w14:textId="77777777" w:rsidR="00A7704F" w:rsidRDefault="00A7704F" w:rsidP="00A7704F">
      <w:pPr>
        <w:rPr>
          <w:rFonts w:asciiTheme="majorHAnsi" w:hAnsiTheme="majorHAnsi" w:cstheme="majorHAnsi"/>
          <w:b/>
        </w:rPr>
      </w:pPr>
    </w:p>
    <w:p w14:paraId="4627ABED" w14:textId="77777777" w:rsidR="00A7704F" w:rsidRPr="00696353" w:rsidRDefault="00A7704F" w:rsidP="00A7704F">
      <w:pPr>
        <w:rPr>
          <w:rFonts w:asciiTheme="majorHAnsi" w:hAnsiTheme="majorHAnsi" w:cstheme="majorHAnsi"/>
          <w:b/>
        </w:rPr>
      </w:pPr>
      <w:r w:rsidRPr="00696353">
        <w:rPr>
          <w:rFonts w:asciiTheme="majorHAnsi" w:hAnsiTheme="majorHAnsi" w:cstheme="majorHAnsi"/>
          <w:b/>
        </w:rPr>
        <w:t>Partnership:</w:t>
      </w:r>
    </w:p>
    <w:p w14:paraId="7AFB8BC5" w14:textId="08D7B113" w:rsidR="00A7704F" w:rsidRPr="00696353" w:rsidRDefault="00A7704F" w:rsidP="00A7704F">
      <w:pPr>
        <w:rPr>
          <w:rFonts w:asciiTheme="majorHAnsi" w:hAnsiTheme="majorHAnsi" w:cstheme="majorHAnsi"/>
        </w:rPr>
      </w:pPr>
      <w:r w:rsidRPr="00696353">
        <w:rPr>
          <w:rFonts w:asciiTheme="majorHAnsi" w:hAnsiTheme="majorHAnsi" w:cstheme="majorHAnsi"/>
        </w:rPr>
        <w:t>Jointly developed by the Pacific Centre for Renewable Energy and Energy Efficiency (PCREEE) and the United Nations Industrial Development Organization (UNIDO) under the umbrella of Global Network of Regional Sustainable Energy Centr</w:t>
      </w:r>
      <w:r w:rsidR="00073BDE">
        <w:rPr>
          <w:rFonts w:asciiTheme="majorHAnsi" w:hAnsiTheme="majorHAnsi" w:cstheme="majorHAnsi"/>
        </w:rPr>
        <w:t>e</w:t>
      </w:r>
      <w:r w:rsidRPr="00696353">
        <w:rPr>
          <w:rFonts w:asciiTheme="majorHAnsi" w:hAnsiTheme="majorHAnsi" w:cstheme="majorHAnsi"/>
        </w:rPr>
        <w:t>s (GN-SEC)</w:t>
      </w:r>
    </w:p>
    <w:p w14:paraId="1F2DFB41" w14:textId="77777777" w:rsidR="00A7704F" w:rsidRDefault="00A7704F" w:rsidP="00A7704F">
      <w:pPr>
        <w:spacing w:after="120" w:line="216" w:lineRule="auto"/>
        <w:rPr>
          <w:rFonts w:asciiTheme="majorHAnsi" w:hAnsiTheme="majorHAnsi" w:cstheme="majorHAnsi"/>
          <w:b/>
        </w:rPr>
      </w:pPr>
      <w:r w:rsidRPr="00D93DC7">
        <w:rPr>
          <w:noProof/>
          <w:lang w:val="pt-BR" w:eastAsia="pt-BR"/>
        </w:rPr>
        <w:drawing>
          <wp:anchor distT="0" distB="0" distL="114300" distR="114300" simplePos="0" relativeHeight="251654144" behindDoc="1" locked="0" layoutInCell="1" allowOverlap="1" wp14:anchorId="74642101" wp14:editId="40530838">
            <wp:simplePos x="0" y="0"/>
            <wp:positionH relativeFrom="margin">
              <wp:align>left</wp:align>
            </wp:positionH>
            <wp:positionV relativeFrom="paragraph">
              <wp:posOffset>245745</wp:posOffset>
            </wp:positionV>
            <wp:extent cx="1857375" cy="452755"/>
            <wp:effectExtent l="0" t="0" r="9525" b="4445"/>
            <wp:wrapTight wrapText="bothSides">
              <wp:wrapPolygon edited="0">
                <wp:start x="0" y="0"/>
                <wp:lineTo x="0" y="20903"/>
                <wp:lineTo x="21489" y="20903"/>
                <wp:lineTo x="21489" y="0"/>
                <wp:lineTo x="0" y="0"/>
              </wp:wrapPolygon>
            </wp:wrapTight>
            <wp:docPr id="16" name="Picture 16" descr="C:\Users\UNIDO CPP\Documents\Network of centers\PCREEE\Website\PCREE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DO CPP\Documents\Network of centers\PCREEE\Website\PCREEE 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800"/>
                    <a:stretch/>
                  </pic:blipFill>
                  <pic:spPr bwMode="auto">
                    <a:xfrm>
                      <a:off x="0" y="0"/>
                      <a:ext cx="1857375" cy="45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CBBAA" w14:textId="77777777" w:rsidR="00A7704F" w:rsidRDefault="009D489B" w:rsidP="00A7704F">
      <w:pPr>
        <w:spacing w:after="120" w:line="216" w:lineRule="auto"/>
        <w:rPr>
          <w:rFonts w:asciiTheme="majorHAnsi" w:hAnsiTheme="majorHAnsi" w:cstheme="majorHAnsi"/>
          <w:b/>
        </w:rPr>
      </w:pPr>
      <w:r>
        <w:rPr>
          <w:rFonts w:ascii="Arial" w:hAnsi="Arial" w:cs="Arial"/>
          <w:noProof/>
          <w:color w:val="2962FF"/>
          <w:sz w:val="20"/>
          <w:szCs w:val="20"/>
          <w:lang w:val="pt-BR" w:eastAsia="pt-BR"/>
        </w:rPr>
        <w:drawing>
          <wp:anchor distT="0" distB="0" distL="114300" distR="114300" simplePos="0" relativeHeight="251677696" behindDoc="0" locked="0" layoutInCell="1" allowOverlap="1" wp14:anchorId="4C6F12B3" wp14:editId="5C2D4C5F">
            <wp:simplePos x="0" y="0"/>
            <wp:positionH relativeFrom="column">
              <wp:posOffset>2570023</wp:posOffset>
            </wp:positionH>
            <wp:positionV relativeFrom="paragraph">
              <wp:posOffset>66472</wp:posOffset>
            </wp:positionV>
            <wp:extent cx="1038225" cy="443230"/>
            <wp:effectExtent l="0" t="0" r="9525" b="0"/>
            <wp:wrapThrough wrapText="bothSides">
              <wp:wrapPolygon edited="0">
                <wp:start x="0" y="0"/>
                <wp:lineTo x="0" y="20424"/>
                <wp:lineTo x="21402" y="20424"/>
                <wp:lineTo x="21402" y="0"/>
                <wp:lineTo x="0" y="0"/>
              </wp:wrapPolygon>
            </wp:wrapThrough>
            <wp:docPr id="20" name="Picture 20" descr="Jobs at SPC - Pacific Community">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 at SPC - Pacific Communit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346F" w14:textId="77777777" w:rsidR="00A7704F" w:rsidRDefault="00A7704F" w:rsidP="00A7704F">
      <w:pPr>
        <w:spacing w:after="120" w:line="216" w:lineRule="auto"/>
        <w:rPr>
          <w:rFonts w:asciiTheme="majorHAnsi" w:hAnsiTheme="majorHAnsi" w:cstheme="majorHAnsi"/>
          <w:b/>
        </w:rPr>
      </w:pPr>
    </w:p>
    <w:p w14:paraId="6D5071B2" w14:textId="77777777" w:rsidR="00A7704F" w:rsidRDefault="009D489B" w:rsidP="00A7704F">
      <w:pPr>
        <w:spacing w:after="120" w:line="216" w:lineRule="auto"/>
        <w:rPr>
          <w:rFonts w:asciiTheme="majorHAnsi" w:hAnsiTheme="majorHAnsi" w:cstheme="majorHAnsi"/>
          <w:b/>
        </w:rPr>
      </w:pPr>
      <w:r w:rsidRPr="00B44A3D">
        <w:rPr>
          <w:rFonts w:asciiTheme="majorHAnsi" w:hAnsiTheme="majorHAnsi" w:cstheme="majorHAnsi"/>
          <w:b/>
          <w:noProof/>
          <w:lang w:val="pt-BR" w:eastAsia="pt-BR"/>
        </w:rPr>
        <w:drawing>
          <wp:anchor distT="0" distB="0" distL="114300" distR="114300" simplePos="0" relativeHeight="251659264" behindDoc="1" locked="0" layoutInCell="1" allowOverlap="1" wp14:anchorId="50D7AF34" wp14:editId="7D693DCC">
            <wp:simplePos x="0" y="0"/>
            <wp:positionH relativeFrom="column">
              <wp:posOffset>2635123</wp:posOffset>
            </wp:positionH>
            <wp:positionV relativeFrom="paragraph">
              <wp:posOffset>85725</wp:posOffset>
            </wp:positionV>
            <wp:extent cx="1476375" cy="479425"/>
            <wp:effectExtent l="0" t="0" r="9525" b="0"/>
            <wp:wrapTight wrapText="bothSides">
              <wp:wrapPolygon edited="0">
                <wp:start x="0" y="0"/>
                <wp:lineTo x="0" y="20599"/>
                <wp:lineTo x="21461" y="20599"/>
                <wp:lineTo x="21461" y="0"/>
                <wp:lineTo x="0" y="0"/>
              </wp:wrapPolygon>
            </wp:wrapTight>
            <wp:docPr id="21" name="Picture 21" descr="C:\Users\UNIDO CPP\Pictures\gn-sec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DO CPP\Pictures\gn-sec_log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A3D">
        <w:rPr>
          <w:rFonts w:asciiTheme="majorHAnsi" w:hAnsiTheme="majorHAnsi" w:cstheme="majorHAnsi"/>
          <w:b/>
          <w:noProof/>
          <w:lang w:val="pt-BR" w:eastAsia="pt-BR"/>
        </w:rPr>
        <w:drawing>
          <wp:anchor distT="0" distB="0" distL="114300" distR="114300" simplePos="0" relativeHeight="251670528" behindDoc="0" locked="0" layoutInCell="1" allowOverlap="1" wp14:anchorId="4974A821" wp14:editId="1B62DEEB">
            <wp:simplePos x="0" y="0"/>
            <wp:positionH relativeFrom="column">
              <wp:posOffset>21946</wp:posOffset>
            </wp:positionH>
            <wp:positionV relativeFrom="paragraph">
              <wp:posOffset>108966</wp:posOffset>
            </wp:positionV>
            <wp:extent cx="2347595" cy="419100"/>
            <wp:effectExtent l="0" t="0" r="0" b="0"/>
            <wp:wrapThrough wrapText="bothSides">
              <wp:wrapPolygon edited="0">
                <wp:start x="0" y="0"/>
                <wp:lineTo x="0" y="20618"/>
                <wp:lineTo x="21384" y="20618"/>
                <wp:lineTo x="21384" y="0"/>
                <wp:lineTo x="0" y="0"/>
              </wp:wrapPolygon>
            </wp:wrapThrough>
            <wp:docPr id="13" name="Picture 13" descr="C:\Users\UNIDO CPP\Pictures\UNIDO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DO CPP\Pictures\UNIDO log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59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69EBE" w14:textId="77777777" w:rsidR="00A7704F" w:rsidRDefault="00A7704F" w:rsidP="00A7704F">
      <w:pPr>
        <w:spacing w:after="120" w:line="216" w:lineRule="auto"/>
        <w:rPr>
          <w:rFonts w:asciiTheme="majorHAnsi" w:hAnsiTheme="majorHAnsi" w:cstheme="majorHAnsi"/>
          <w:b/>
        </w:rPr>
      </w:pPr>
    </w:p>
    <w:p w14:paraId="5EA4BA36" w14:textId="77777777" w:rsidR="00A7704F" w:rsidRDefault="00A7704F" w:rsidP="00A7704F">
      <w:pPr>
        <w:spacing w:after="120" w:line="216" w:lineRule="auto"/>
        <w:rPr>
          <w:rFonts w:asciiTheme="majorHAnsi" w:hAnsiTheme="majorHAnsi" w:cstheme="majorHAnsi"/>
          <w:b/>
        </w:rPr>
      </w:pPr>
    </w:p>
    <w:p w14:paraId="708885A0" w14:textId="44C3097A" w:rsidR="00B051A7" w:rsidRPr="00696353" w:rsidRDefault="009D489B" w:rsidP="00B051A7">
      <w:pPr>
        <w:spacing w:after="120" w:line="216" w:lineRule="auto"/>
        <w:rPr>
          <w:rFonts w:asciiTheme="majorHAnsi" w:hAnsiTheme="majorHAnsi" w:cstheme="majorHAnsi"/>
          <w:b/>
        </w:rPr>
      </w:pPr>
      <w:r>
        <w:rPr>
          <w:rFonts w:asciiTheme="majorHAnsi" w:hAnsiTheme="majorHAnsi" w:cstheme="majorHAnsi"/>
          <w:b/>
        </w:rPr>
        <w:br/>
      </w:r>
      <w:r w:rsidR="00B051A7" w:rsidRPr="00696353">
        <w:rPr>
          <w:rFonts w:asciiTheme="majorHAnsi" w:hAnsiTheme="majorHAnsi" w:cstheme="majorHAnsi"/>
          <w:b/>
        </w:rPr>
        <w:t xml:space="preserve">Consulting Team:  </w:t>
      </w:r>
    </w:p>
    <w:p w14:paraId="11F4B213" w14:textId="77777777" w:rsidR="00194394" w:rsidRDefault="00B051A7" w:rsidP="00194394">
      <w:pPr>
        <w:spacing w:after="0" w:line="216" w:lineRule="auto"/>
        <w:rPr>
          <w:rFonts w:asciiTheme="majorHAnsi" w:hAnsiTheme="majorHAnsi" w:cstheme="majorHAnsi"/>
          <w:bCs/>
        </w:rPr>
      </w:pPr>
      <w:r w:rsidRPr="00696353">
        <w:rPr>
          <w:rFonts w:asciiTheme="majorHAnsi" w:hAnsiTheme="majorHAnsi" w:cstheme="majorHAnsi"/>
          <w:bCs/>
        </w:rPr>
        <w:t>Andrew Campbell (Fuel Technology Limited</w:t>
      </w:r>
      <w:r w:rsidR="00073BDE">
        <w:rPr>
          <w:rFonts w:asciiTheme="majorHAnsi" w:hAnsiTheme="majorHAnsi" w:cstheme="majorHAnsi"/>
          <w:bCs/>
        </w:rPr>
        <w:t xml:space="preserve">, </w:t>
      </w:r>
      <w:r w:rsidR="00C70D96">
        <w:rPr>
          <w:rFonts w:asciiTheme="majorHAnsi" w:hAnsiTheme="majorHAnsi" w:cstheme="majorHAnsi"/>
          <w:bCs/>
        </w:rPr>
        <w:t>Team Lead and L</w:t>
      </w:r>
      <w:r w:rsidR="00073BDE">
        <w:rPr>
          <w:rFonts w:asciiTheme="majorHAnsi" w:hAnsiTheme="majorHAnsi" w:cstheme="majorHAnsi"/>
          <w:bCs/>
        </w:rPr>
        <w:t xml:space="preserve">ead </w:t>
      </w:r>
      <w:r w:rsidR="00C70D96">
        <w:rPr>
          <w:rFonts w:asciiTheme="majorHAnsi" w:hAnsiTheme="majorHAnsi" w:cstheme="majorHAnsi"/>
          <w:bCs/>
        </w:rPr>
        <w:t>A</w:t>
      </w:r>
      <w:r w:rsidR="00073BDE">
        <w:rPr>
          <w:rFonts w:asciiTheme="majorHAnsi" w:hAnsiTheme="majorHAnsi" w:cstheme="majorHAnsi"/>
          <w:bCs/>
        </w:rPr>
        <w:t>uthor</w:t>
      </w:r>
      <w:r w:rsidRPr="00696353">
        <w:rPr>
          <w:rFonts w:asciiTheme="majorHAnsi" w:hAnsiTheme="majorHAnsi" w:cstheme="majorHAnsi"/>
          <w:bCs/>
        </w:rPr>
        <w:t>)</w:t>
      </w:r>
    </w:p>
    <w:p w14:paraId="407B4D6D" w14:textId="4DD94FFC" w:rsidR="00B051A7" w:rsidRPr="00696353" w:rsidRDefault="00B051A7" w:rsidP="00194394">
      <w:pPr>
        <w:spacing w:after="0" w:line="216" w:lineRule="auto"/>
        <w:rPr>
          <w:rFonts w:asciiTheme="majorHAnsi" w:hAnsiTheme="majorHAnsi" w:cstheme="majorHAnsi"/>
        </w:rPr>
      </w:pPr>
      <w:r w:rsidRPr="00696353">
        <w:rPr>
          <w:rFonts w:asciiTheme="majorHAnsi" w:hAnsiTheme="majorHAnsi" w:cstheme="majorHAnsi"/>
          <w:bCs/>
        </w:rPr>
        <w:t>Elizabeth Yeaman (</w:t>
      </w:r>
      <w:proofErr w:type="spellStart"/>
      <w:r w:rsidRPr="00696353">
        <w:rPr>
          <w:rFonts w:asciiTheme="majorHAnsi" w:hAnsiTheme="majorHAnsi" w:cstheme="majorHAnsi"/>
          <w:bCs/>
        </w:rPr>
        <w:t>Retyna</w:t>
      </w:r>
      <w:proofErr w:type="spellEnd"/>
      <w:r w:rsidRPr="00696353">
        <w:rPr>
          <w:rFonts w:asciiTheme="majorHAnsi" w:hAnsiTheme="majorHAnsi" w:cstheme="majorHAnsi"/>
          <w:bCs/>
        </w:rPr>
        <w:t xml:space="preserve"> Limited), Simon Troman (</w:t>
      </w:r>
      <w:proofErr w:type="spellStart"/>
      <w:r w:rsidRPr="00696353">
        <w:rPr>
          <w:rFonts w:asciiTheme="majorHAnsi" w:hAnsiTheme="majorHAnsi" w:cstheme="majorHAnsi"/>
          <w:bCs/>
        </w:rPr>
        <w:t>Atratus</w:t>
      </w:r>
      <w:proofErr w:type="spellEnd"/>
      <w:r w:rsidRPr="00696353">
        <w:rPr>
          <w:rFonts w:asciiTheme="majorHAnsi" w:hAnsiTheme="majorHAnsi" w:cstheme="majorHAnsi"/>
          <w:bCs/>
        </w:rPr>
        <w:t xml:space="preserve"> Pty Ltd) and John McCrystal. </w:t>
      </w:r>
    </w:p>
    <w:p w14:paraId="555623A4" w14:textId="46D65A53" w:rsidR="00B051A7" w:rsidRPr="00696353" w:rsidRDefault="00B051A7" w:rsidP="00B051A7">
      <w:pPr>
        <w:spacing w:after="0" w:line="240" w:lineRule="auto"/>
        <w:rPr>
          <w:rFonts w:asciiTheme="majorHAnsi" w:hAnsiTheme="majorHAnsi" w:cstheme="majorHAnsi"/>
          <w:b/>
        </w:rPr>
      </w:pPr>
      <w:r w:rsidRPr="00696353">
        <w:rPr>
          <w:rFonts w:asciiTheme="majorHAnsi" w:hAnsiTheme="majorHAnsi" w:cstheme="majorHAnsi"/>
          <w:b/>
        </w:rPr>
        <w:br/>
        <w:t>PCREEE Project Team</w:t>
      </w:r>
      <w:r>
        <w:rPr>
          <w:rFonts w:asciiTheme="majorHAnsi" w:hAnsiTheme="majorHAnsi" w:cstheme="majorHAnsi"/>
          <w:b/>
        </w:rPr>
        <w:t xml:space="preserve"> and </w:t>
      </w:r>
      <w:r w:rsidR="00073BDE">
        <w:rPr>
          <w:rFonts w:asciiTheme="majorHAnsi" w:hAnsiTheme="majorHAnsi" w:cstheme="majorHAnsi"/>
          <w:b/>
        </w:rPr>
        <w:t>Contributors</w:t>
      </w:r>
      <w:r w:rsidRPr="00696353">
        <w:rPr>
          <w:rFonts w:asciiTheme="majorHAnsi" w:hAnsiTheme="majorHAnsi" w:cstheme="majorHAnsi"/>
          <w:b/>
        </w:rPr>
        <w:t xml:space="preserve">: </w:t>
      </w:r>
    </w:p>
    <w:p w14:paraId="64A22AA2" w14:textId="77777777" w:rsidR="00B051A7" w:rsidRPr="007456CA" w:rsidRDefault="00B051A7" w:rsidP="00B051A7">
      <w:pPr>
        <w:spacing w:after="0" w:line="240" w:lineRule="auto"/>
        <w:rPr>
          <w:rFonts w:asciiTheme="majorHAnsi" w:hAnsiTheme="majorHAnsi" w:cstheme="majorHAnsi"/>
        </w:rPr>
      </w:pPr>
      <w:r w:rsidRPr="00696353">
        <w:rPr>
          <w:rFonts w:asciiTheme="majorHAnsi" w:hAnsiTheme="majorHAnsi" w:cstheme="majorHAnsi"/>
        </w:rPr>
        <w:t>Solomone Fifita, Jesse Benjaman</w:t>
      </w:r>
    </w:p>
    <w:p w14:paraId="3C4A83CF" w14:textId="77777777" w:rsidR="00B051A7" w:rsidRDefault="00B051A7" w:rsidP="00B051A7">
      <w:pPr>
        <w:spacing w:after="0" w:line="240" w:lineRule="auto"/>
        <w:rPr>
          <w:rFonts w:asciiTheme="majorHAnsi" w:hAnsiTheme="majorHAnsi" w:cstheme="majorHAnsi"/>
        </w:rPr>
      </w:pPr>
      <w:r w:rsidRPr="00EB58EC">
        <w:rPr>
          <w:rFonts w:asciiTheme="majorHAnsi" w:hAnsiTheme="majorHAnsi" w:cstheme="majorHAnsi"/>
        </w:rPr>
        <w:t xml:space="preserve">PCREEE </w:t>
      </w:r>
      <w:r w:rsidRPr="009747FC">
        <w:rPr>
          <w:rFonts w:asciiTheme="majorHAnsi" w:hAnsiTheme="majorHAnsi" w:cstheme="majorHAnsi"/>
        </w:rPr>
        <w:t>S</w:t>
      </w:r>
      <w:r w:rsidRPr="00C652EC">
        <w:rPr>
          <w:rFonts w:asciiTheme="majorHAnsi" w:hAnsiTheme="majorHAnsi" w:cstheme="majorHAnsi"/>
        </w:rPr>
        <w:t xml:space="preserve">ecretariat, </w:t>
      </w:r>
    </w:p>
    <w:p w14:paraId="11AF78D0" w14:textId="77777777" w:rsidR="00B051A7" w:rsidRPr="00696353" w:rsidRDefault="00B051A7" w:rsidP="00B051A7">
      <w:pPr>
        <w:spacing w:after="0" w:line="240" w:lineRule="auto"/>
        <w:rPr>
          <w:rFonts w:asciiTheme="majorHAnsi" w:hAnsiTheme="majorHAnsi" w:cstheme="majorHAnsi"/>
        </w:rPr>
      </w:pPr>
      <w:r w:rsidRPr="00696353">
        <w:rPr>
          <w:rFonts w:asciiTheme="majorHAnsi" w:hAnsiTheme="majorHAnsi" w:cstheme="majorHAnsi"/>
        </w:rPr>
        <w:t xml:space="preserve">Nuku’alofa, Kingdom of Tonga  </w:t>
      </w:r>
    </w:p>
    <w:p w14:paraId="13BA8A86" w14:textId="2853FAF2" w:rsidR="00B051A7" w:rsidRDefault="00B051A7" w:rsidP="00B051A7">
      <w:pPr>
        <w:spacing w:after="0" w:line="240" w:lineRule="auto"/>
        <w:rPr>
          <w:rFonts w:asciiTheme="majorHAnsi" w:hAnsiTheme="majorHAnsi" w:cstheme="majorHAnsi"/>
        </w:rPr>
      </w:pPr>
      <w:r w:rsidRPr="00696353">
        <w:rPr>
          <w:rFonts w:asciiTheme="majorHAnsi" w:hAnsiTheme="majorHAnsi" w:cstheme="majorHAnsi"/>
          <w:u w:val="single"/>
        </w:rPr>
        <w:br/>
      </w:r>
      <w:r w:rsidRPr="00696353">
        <w:rPr>
          <w:rFonts w:asciiTheme="majorHAnsi" w:hAnsiTheme="majorHAnsi" w:cstheme="majorHAnsi"/>
          <w:b/>
        </w:rPr>
        <w:t>UNIDO Project Team</w:t>
      </w:r>
      <w:r>
        <w:rPr>
          <w:rFonts w:asciiTheme="majorHAnsi" w:hAnsiTheme="majorHAnsi" w:cstheme="majorHAnsi"/>
          <w:b/>
        </w:rPr>
        <w:t xml:space="preserve"> and </w:t>
      </w:r>
      <w:r w:rsidR="00073BDE">
        <w:rPr>
          <w:rFonts w:asciiTheme="majorHAnsi" w:hAnsiTheme="majorHAnsi" w:cstheme="majorHAnsi"/>
          <w:b/>
        </w:rPr>
        <w:t>Contributors</w:t>
      </w:r>
      <w:r w:rsidRPr="00696353">
        <w:rPr>
          <w:rFonts w:asciiTheme="majorHAnsi" w:hAnsiTheme="majorHAnsi" w:cstheme="majorHAnsi"/>
          <w:b/>
        </w:rPr>
        <w:t>:</w:t>
      </w:r>
      <w:r w:rsidRPr="00696353">
        <w:rPr>
          <w:rFonts w:asciiTheme="majorHAnsi" w:hAnsiTheme="majorHAnsi" w:cstheme="majorHAnsi"/>
        </w:rPr>
        <w:t xml:space="preserve"> </w:t>
      </w:r>
    </w:p>
    <w:p w14:paraId="7660EAAD" w14:textId="77777777" w:rsidR="00B051A7" w:rsidRDefault="00B051A7" w:rsidP="00B051A7">
      <w:pPr>
        <w:spacing w:after="0" w:line="240" w:lineRule="auto"/>
        <w:rPr>
          <w:rFonts w:asciiTheme="majorHAnsi" w:hAnsiTheme="majorHAnsi" w:cstheme="majorHAnsi"/>
        </w:rPr>
      </w:pPr>
      <w:r w:rsidRPr="00696353">
        <w:rPr>
          <w:rFonts w:asciiTheme="majorHAnsi" w:hAnsiTheme="majorHAnsi" w:cstheme="majorHAnsi"/>
        </w:rPr>
        <w:t xml:space="preserve">Martin </w:t>
      </w:r>
      <w:proofErr w:type="spellStart"/>
      <w:r w:rsidRPr="00696353">
        <w:rPr>
          <w:rFonts w:asciiTheme="majorHAnsi" w:hAnsiTheme="majorHAnsi" w:cstheme="majorHAnsi"/>
        </w:rPr>
        <w:t>Lugmayr</w:t>
      </w:r>
      <w:proofErr w:type="spellEnd"/>
      <w:r w:rsidRPr="00696353">
        <w:rPr>
          <w:rFonts w:asciiTheme="majorHAnsi" w:hAnsiTheme="majorHAnsi" w:cstheme="majorHAnsi"/>
        </w:rPr>
        <w:t xml:space="preserve">, Weijun Shen, </w:t>
      </w:r>
    </w:p>
    <w:p w14:paraId="7F17F14B" w14:textId="77777777" w:rsidR="00B051A7" w:rsidRDefault="00B051A7" w:rsidP="00B051A7">
      <w:pPr>
        <w:spacing w:after="0" w:line="240" w:lineRule="auto"/>
        <w:rPr>
          <w:rFonts w:asciiTheme="majorHAnsi" w:hAnsiTheme="majorHAnsi" w:cstheme="majorHAnsi"/>
        </w:rPr>
      </w:pPr>
      <w:r w:rsidRPr="00696353">
        <w:rPr>
          <w:rFonts w:asciiTheme="majorHAnsi" w:hAnsiTheme="majorHAnsi" w:cstheme="majorHAnsi"/>
        </w:rPr>
        <w:t>Climate Policy and Partnerships Division,</w:t>
      </w:r>
    </w:p>
    <w:p w14:paraId="5490D397" w14:textId="77777777" w:rsidR="00B051A7" w:rsidRDefault="00B051A7" w:rsidP="00B051A7">
      <w:pPr>
        <w:spacing w:after="0" w:line="240" w:lineRule="auto"/>
        <w:rPr>
          <w:rFonts w:asciiTheme="majorHAnsi" w:hAnsiTheme="majorHAnsi" w:cstheme="majorHAnsi"/>
        </w:rPr>
      </w:pPr>
      <w:r>
        <w:rPr>
          <w:rFonts w:asciiTheme="majorHAnsi" w:hAnsiTheme="majorHAnsi" w:cstheme="majorHAnsi"/>
        </w:rPr>
        <w:t>Department of Energy</w:t>
      </w:r>
      <w:r w:rsidRPr="00696353">
        <w:rPr>
          <w:rFonts w:asciiTheme="majorHAnsi" w:hAnsiTheme="majorHAnsi" w:cstheme="majorHAnsi"/>
        </w:rPr>
        <w:t xml:space="preserve"> </w:t>
      </w:r>
    </w:p>
    <w:p w14:paraId="53121FBF" w14:textId="77777777" w:rsidR="00B051A7" w:rsidRPr="00696353" w:rsidRDefault="00B051A7" w:rsidP="00B051A7">
      <w:pPr>
        <w:spacing w:after="0" w:line="240" w:lineRule="auto"/>
        <w:rPr>
          <w:rFonts w:asciiTheme="majorHAnsi" w:hAnsiTheme="majorHAnsi" w:cstheme="majorHAnsi"/>
        </w:rPr>
      </w:pPr>
      <w:r>
        <w:rPr>
          <w:rFonts w:asciiTheme="majorHAnsi" w:hAnsiTheme="majorHAnsi" w:cstheme="majorHAnsi"/>
        </w:rPr>
        <w:t>Vienna International Centre (VIC)</w:t>
      </w:r>
    </w:p>
    <w:p w14:paraId="7958BEB2" w14:textId="77777777" w:rsidR="00A7704F" w:rsidRPr="00696353" w:rsidRDefault="00A7704F" w:rsidP="00B051A7">
      <w:pPr>
        <w:spacing w:after="120" w:line="216" w:lineRule="auto"/>
        <w:rPr>
          <w:u w:val="single"/>
        </w:rPr>
      </w:pPr>
    </w:p>
    <w:p w14:paraId="5C98AA79" w14:textId="77777777" w:rsidR="00A7704F" w:rsidRPr="00696353" w:rsidRDefault="00C87D29" w:rsidP="00A7704F">
      <w:pPr>
        <w:rPr>
          <w:rFonts w:asciiTheme="majorHAnsi" w:hAnsiTheme="majorHAnsi" w:cstheme="majorHAnsi"/>
          <w:b/>
        </w:rPr>
      </w:pPr>
      <w:r>
        <w:rPr>
          <w:rFonts w:ascii="Arial" w:hAnsi="Arial" w:cs="Arial"/>
          <w:noProof/>
          <w:color w:val="2962FF"/>
          <w:lang w:val="pt-BR" w:eastAsia="pt-BR"/>
        </w:rPr>
        <w:drawing>
          <wp:anchor distT="0" distB="0" distL="114300" distR="114300" simplePos="0" relativeHeight="251679744" behindDoc="0" locked="0" layoutInCell="1" allowOverlap="1" wp14:anchorId="3B0EAA8C" wp14:editId="3CB19A25">
            <wp:simplePos x="0" y="0"/>
            <wp:positionH relativeFrom="margin">
              <wp:posOffset>1557833</wp:posOffset>
            </wp:positionH>
            <wp:positionV relativeFrom="paragraph">
              <wp:posOffset>345440</wp:posOffset>
            </wp:positionV>
            <wp:extent cx="1546860" cy="447675"/>
            <wp:effectExtent l="0" t="0" r="0" b="9525"/>
            <wp:wrapTopAndBottom/>
            <wp:docPr id="17" name="Picture 17" descr="Guidelin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idelines">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00"/>
                    <a:stretch/>
                  </pic:blipFill>
                  <pic:spPr bwMode="auto">
                    <a:xfrm>
                      <a:off x="0" y="0"/>
                      <a:ext cx="154686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4F" w:rsidRPr="00634780">
        <w:rPr>
          <w:noProof/>
          <w:sz w:val="28"/>
          <w:szCs w:val="28"/>
          <w:lang w:val="pt-BR" w:eastAsia="pt-BR"/>
        </w:rPr>
        <w:drawing>
          <wp:anchor distT="0" distB="0" distL="114300" distR="114300" simplePos="0" relativeHeight="251678720" behindDoc="0" locked="0" layoutInCell="1" allowOverlap="1" wp14:anchorId="04735CC1" wp14:editId="58BA0D63">
            <wp:simplePos x="0" y="0"/>
            <wp:positionH relativeFrom="margin">
              <wp:align>left</wp:align>
            </wp:positionH>
            <wp:positionV relativeFrom="paragraph">
              <wp:posOffset>294005</wp:posOffset>
            </wp:positionV>
            <wp:extent cx="1343025" cy="549910"/>
            <wp:effectExtent l="0" t="0" r="0" b="2540"/>
            <wp:wrapThrough wrapText="bothSides">
              <wp:wrapPolygon edited="0">
                <wp:start x="0" y="0"/>
                <wp:lineTo x="0" y="20952"/>
                <wp:lineTo x="21140" y="20952"/>
                <wp:lineTo x="21140" y="0"/>
                <wp:lineTo x="0" y="0"/>
              </wp:wrapPolygon>
            </wp:wrapThrough>
            <wp:docPr id="18" name="Picture 18" descr="C:\Users\UNIDO CPP\Pictures\Nor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DO CPP\Pictures\Norway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8610" cy="552568"/>
                    </a:xfrm>
                    <a:prstGeom prst="rect">
                      <a:avLst/>
                    </a:prstGeom>
                    <a:noFill/>
                    <a:ln>
                      <a:noFill/>
                    </a:ln>
                  </pic:spPr>
                </pic:pic>
              </a:graphicData>
            </a:graphic>
            <wp14:sizeRelH relativeFrom="page">
              <wp14:pctWidth>0</wp14:pctWidth>
            </wp14:sizeRelH>
            <wp14:sizeRelV relativeFrom="page">
              <wp14:pctHeight>0</wp14:pctHeight>
            </wp14:sizeRelV>
          </wp:anchor>
        </w:drawing>
      </w:r>
      <w:r w:rsidR="00A7704F" w:rsidRPr="00696353">
        <w:rPr>
          <w:rFonts w:asciiTheme="majorHAnsi" w:hAnsiTheme="majorHAnsi" w:cstheme="majorHAnsi"/>
          <w:b/>
        </w:rPr>
        <w:t>With financial support of:</w:t>
      </w:r>
    </w:p>
    <w:p w14:paraId="67D0CEE1" w14:textId="77777777" w:rsidR="00A7704F" w:rsidRDefault="00A7704F" w:rsidP="00A7704F">
      <w:pPr>
        <w:rPr>
          <w:rFonts w:asciiTheme="majorHAnsi" w:hAnsiTheme="majorHAnsi" w:cstheme="majorHAnsi"/>
        </w:rPr>
      </w:pPr>
    </w:p>
    <w:p w14:paraId="509D6F4B" w14:textId="77777777" w:rsidR="00A7704F" w:rsidRDefault="00A7704F" w:rsidP="00A7704F">
      <w:pPr>
        <w:rPr>
          <w:rFonts w:asciiTheme="majorHAnsi" w:hAnsiTheme="majorHAnsi" w:cstheme="majorHAnsi"/>
          <w:b/>
        </w:rPr>
      </w:pPr>
      <w:r>
        <w:rPr>
          <w:rFonts w:asciiTheme="majorHAnsi" w:hAnsiTheme="majorHAnsi" w:cstheme="majorHAnsi"/>
          <w:b/>
        </w:rPr>
        <w:t>Contact</w:t>
      </w:r>
      <w:r w:rsidRPr="00696353">
        <w:rPr>
          <w:rFonts w:asciiTheme="majorHAnsi" w:hAnsiTheme="majorHAnsi" w:cstheme="majorHAnsi"/>
          <w:b/>
        </w:rPr>
        <w:t>:</w:t>
      </w:r>
    </w:p>
    <w:p w14:paraId="42C37D1E" w14:textId="77777777" w:rsidR="00A7704F" w:rsidRPr="00181092" w:rsidRDefault="00A7704F">
      <w:pPr>
        <w:jc w:val="left"/>
        <w:rPr>
          <w:u w:val="single"/>
          <w:lang w:val="en-GB"/>
        </w:rPr>
      </w:pPr>
      <w:r>
        <w:rPr>
          <w:rFonts w:asciiTheme="majorHAnsi" w:hAnsiTheme="majorHAnsi" w:cstheme="majorHAnsi"/>
        </w:rPr>
        <w:t>Please do not hesitate to contact the project team:</w:t>
      </w:r>
      <w:r>
        <w:rPr>
          <w:rFonts w:asciiTheme="majorHAnsi" w:hAnsiTheme="majorHAnsi" w:cstheme="majorHAnsi"/>
          <w:b/>
        </w:rPr>
        <w:br/>
      </w:r>
      <w:r w:rsidRPr="00696353">
        <w:rPr>
          <w:rFonts w:asciiTheme="majorHAnsi" w:hAnsiTheme="majorHAnsi" w:cstheme="majorHAnsi"/>
        </w:rPr>
        <w:t>E-Mail:</w:t>
      </w:r>
      <w:r>
        <w:rPr>
          <w:rFonts w:asciiTheme="majorHAnsi" w:hAnsiTheme="majorHAnsi" w:cstheme="majorHAnsi"/>
          <w:b/>
        </w:rPr>
        <w:t xml:space="preserve"> </w:t>
      </w:r>
      <w:hyperlink r:id="rId18" w:history="1">
        <w:r w:rsidRPr="00696353">
          <w:rPr>
            <w:rStyle w:val="Hyperlink"/>
            <w:rFonts w:asciiTheme="majorHAnsi" w:hAnsiTheme="majorHAnsi" w:cstheme="majorHAnsi"/>
          </w:rPr>
          <w:t>emobility</w:t>
        </w:r>
        <w:r w:rsidRPr="00696353">
          <w:rPr>
            <w:rStyle w:val="Hyperlink"/>
            <w:rFonts w:asciiTheme="majorHAnsi" w:hAnsiTheme="majorHAnsi" w:cstheme="majorHAnsi"/>
            <w:lang w:val="en-GB"/>
          </w:rPr>
          <w:t>@pcreee.org</w:t>
        </w:r>
      </w:hyperlink>
      <w:r w:rsidRPr="00696353">
        <w:rPr>
          <w:rFonts w:asciiTheme="majorHAnsi" w:hAnsiTheme="majorHAnsi" w:cstheme="majorHAnsi"/>
          <w:b/>
          <w:lang w:val="en-GB"/>
        </w:rPr>
        <w:t xml:space="preserve"> </w:t>
      </w:r>
      <w:r>
        <w:rPr>
          <w:rFonts w:asciiTheme="majorHAnsi" w:hAnsiTheme="majorHAnsi" w:cstheme="majorHAnsi"/>
          <w:lang w:val="en-GB"/>
        </w:rPr>
        <w:t xml:space="preserve">or </w:t>
      </w:r>
      <w:hyperlink r:id="rId19" w:history="1">
        <w:r w:rsidRPr="00C65DAB">
          <w:rPr>
            <w:rStyle w:val="Hyperlink"/>
            <w:rFonts w:asciiTheme="majorHAnsi" w:hAnsiTheme="majorHAnsi" w:cstheme="majorHAnsi"/>
            <w:lang w:val="en-GB"/>
          </w:rPr>
          <w:t>emobility@gn-sec.net</w:t>
        </w:r>
      </w:hyperlink>
      <w:r>
        <w:rPr>
          <w:rFonts w:cstheme="minorHAnsi"/>
          <w:b/>
          <w:bCs/>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60A3BED0" w14:textId="77777777" w:rsidR="00A7704F" w:rsidRPr="000C13D7" w:rsidRDefault="00A7704F" w:rsidP="000C13D7">
      <w:pPr>
        <w:spacing w:after="120" w:line="276" w:lineRule="auto"/>
        <w:jc w:val="center"/>
        <w:rPr>
          <w:rFonts w:cstheme="minorHAnsi"/>
          <w:b/>
          <w:bCs/>
          <w:color w:val="00206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dt>
      <w:sdtPr>
        <w:rPr>
          <w:rFonts w:asciiTheme="majorHAnsi" w:hAnsiTheme="majorHAnsi" w:cstheme="majorHAnsi"/>
          <w:color w:val="1F3864" w:themeColor="accent1" w:themeShade="80"/>
          <w:sz w:val="18"/>
        </w:rPr>
        <w:id w:val="-1654524688"/>
        <w:docPartObj>
          <w:docPartGallery w:val="Table of Contents"/>
          <w:docPartUnique/>
        </w:docPartObj>
      </w:sdtPr>
      <w:sdtEndPr>
        <w:rPr>
          <w:rFonts w:asciiTheme="minorHAnsi" w:hAnsiTheme="minorHAnsi" w:cstheme="minorBidi"/>
          <w:bCs/>
          <w:noProof/>
          <w:color w:val="auto"/>
        </w:rPr>
      </w:sdtEndPr>
      <w:sdtContent>
        <w:p w14:paraId="04DC2661" w14:textId="37F086DB" w:rsidR="001A54A5" w:rsidRDefault="00A7704F" w:rsidP="009832C6">
          <w:pPr>
            <w:tabs>
              <w:tab w:val="center" w:pos="4513"/>
              <w:tab w:val="right" w:pos="9026"/>
            </w:tabs>
            <w:spacing w:after="0" w:line="276" w:lineRule="auto"/>
            <w:rPr>
              <w:rFonts w:cstheme="minorHAnsi"/>
              <w:b/>
              <w:color w:val="1F3864" w:themeColor="accent1" w:themeShade="80"/>
            </w:rPr>
          </w:pPr>
          <w:r>
            <w:rPr>
              <w:rFonts w:cstheme="minorHAnsi"/>
              <w:b/>
              <w:color w:val="1F3864" w:themeColor="accent1" w:themeShade="80"/>
            </w:rPr>
            <w:t>Table of Content</w:t>
          </w:r>
          <w:r w:rsidR="003506B7">
            <w:rPr>
              <w:rFonts w:cstheme="minorHAnsi"/>
              <w:b/>
              <w:color w:val="1F3864" w:themeColor="accent1" w:themeShade="80"/>
            </w:rPr>
            <w:t>s</w:t>
          </w:r>
        </w:p>
        <w:p w14:paraId="0CB91189" w14:textId="77777777" w:rsidR="000C13D7" w:rsidRPr="008B7F14" w:rsidRDefault="000C13D7" w:rsidP="009832C6">
          <w:pPr>
            <w:tabs>
              <w:tab w:val="center" w:pos="4513"/>
              <w:tab w:val="right" w:pos="9026"/>
            </w:tabs>
            <w:spacing w:after="0" w:line="276" w:lineRule="auto"/>
            <w:rPr>
              <w:rFonts w:cstheme="minorHAnsi"/>
              <w:bCs/>
              <w:color w:val="1F3864" w:themeColor="accent1" w:themeShade="80"/>
            </w:rPr>
          </w:pPr>
        </w:p>
        <w:p w14:paraId="17D8B4CD" w14:textId="59AEAF35" w:rsidR="00C91DE3" w:rsidRPr="00194394" w:rsidRDefault="001A54A5">
          <w:pPr>
            <w:pStyle w:val="TOC1"/>
            <w:tabs>
              <w:tab w:val="left" w:pos="440"/>
              <w:tab w:val="right" w:leader="dot" w:pos="9016"/>
            </w:tabs>
            <w:rPr>
              <w:rFonts w:eastAsiaTheme="minorEastAsia"/>
              <w:bCs/>
              <w:noProof/>
              <w:lang w:eastAsia="en-NZ"/>
            </w:rPr>
          </w:pPr>
          <w:r w:rsidRPr="00194394">
            <w:rPr>
              <w:bCs/>
              <w:sz w:val="18"/>
            </w:rPr>
            <w:fldChar w:fldCharType="begin"/>
          </w:r>
          <w:r w:rsidRPr="00194394">
            <w:rPr>
              <w:bCs/>
              <w:sz w:val="18"/>
            </w:rPr>
            <w:instrText xml:space="preserve"> TOC \o "1-3" \h \z \u </w:instrText>
          </w:r>
          <w:r w:rsidRPr="00194394">
            <w:rPr>
              <w:bCs/>
              <w:sz w:val="18"/>
            </w:rPr>
            <w:fldChar w:fldCharType="separate"/>
          </w:r>
          <w:hyperlink w:anchor="_Toc38034037" w:history="1">
            <w:r w:rsidR="00C91DE3" w:rsidRPr="00194394">
              <w:rPr>
                <w:rStyle w:val="Hyperlink"/>
                <w:rFonts w:cstheme="minorHAnsi"/>
                <w:bCs/>
                <w:noProof/>
              </w:rPr>
              <w:t>1</w:t>
            </w:r>
            <w:r w:rsidR="00C91DE3" w:rsidRPr="00194394">
              <w:rPr>
                <w:rFonts w:eastAsiaTheme="minorEastAsia"/>
                <w:bCs/>
                <w:noProof/>
                <w:lang w:eastAsia="en-NZ"/>
              </w:rPr>
              <w:tab/>
            </w:r>
            <w:r w:rsidR="00C91DE3" w:rsidRPr="00194394">
              <w:rPr>
                <w:rStyle w:val="Hyperlink"/>
                <w:rFonts w:cstheme="minorHAnsi"/>
                <w:bCs/>
                <w:noProof/>
              </w:rPr>
              <w:t>Introduction</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_Toc38034037 \h </w:instrText>
            </w:r>
            <w:r w:rsidR="00C91DE3" w:rsidRPr="00194394">
              <w:rPr>
                <w:bCs/>
                <w:noProof/>
                <w:webHidden/>
              </w:rPr>
            </w:r>
            <w:r w:rsidR="00C91DE3" w:rsidRPr="00194394">
              <w:rPr>
                <w:bCs/>
                <w:noProof/>
                <w:webHidden/>
              </w:rPr>
              <w:fldChar w:fldCharType="separate"/>
            </w:r>
            <w:r w:rsidR="00A16B82">
              <w:rPr>
                <w:bCs/>
                <w:noProof/>
                <w:webHidden/>
              </w:rPr>
              <w:t>5</w:t>
            </w:r>
            <w:r w:rsidR="00C91DE3" w:rsidRPr="00194394">
              <w:rPr>
                <w:bCs/>
                <w:noProof/>
                <w:webHidden/>
              </w:rPr>
              <w:fldChar w:fldCharType="end"/>
            </w:r>
          </w:hyperlink>
        </w:p>
        <w:p w14:paraId="6F9CDC75" w14:textId="65FD0770" w:rsidR="00C91DE3" w:rsidRPr="00194394" w:rsidRDefault="00424365">
          <w:pPr>
            <w:pStyle w:val="TOC2"/>
            <w:tabs>
              <w:tab w:val="left" w:pos="880"/>
              <w:tab w:val="right" w:leader="dot" w:pos="9016"/>
            </w:tabs>
            <w:rPr>
              <w:rFonts w:eastAsiaTheme="minorEastAsia"/>
              <w:bCs/>
              <w:noProof/>
              <w:lang w:eastAsia="en-NZ"/>
            </w:rPr>
          </w:pPr>
          <w:hyperlink w:anchor="_Toc38034038" w:history="1">
            <w:r w:rsidR="00C91DE3" w:rsidRPr="00194394">
              <w:rPr>
                <w:rStyle w:val="Hyperlink"/>
                <w:rFonts w:cstheme="minorHAnsi"/>
                <w:bCs/>
                <w:noProof/>
              </w:rPr>
              <w:t>1.1</w:t>
            </w:r>
            <w:r w:rsidR="00C91DE3" w:rsidRPr="00194394">
              <w:rPr>
                <w:rFonts w:eastAsiaTheme="minorEastAsia"/>
                <w:bCs/>
                <w:noProof/>
                <w:lang w:eastAsia="en-NZ"/>
              </w:rPr>
              <w:tab/>
            </w:r>
            <w:r w:rsidR="00C91DE3" w:rsidRPr="00194394">
              <w:rPr>
                <w:rStyle w:val="Hyperlink"/>
                <w:rFonts w:cstheme="minorHAnsi"/>
                <w:bCs/>
                <w:noProof/>
              </w:rPr>
              <w:t>PICTs and global EV deployment</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_Toc38034038 \h </w:instrText>
            </w:r>
            <w:r w:rsidR="00C91DE3" w:rsidRPr="00194394">
              <w:rPr>
                <w:bCs/>
                <w:noProof/>
                <w:webHidden/>
              </w:rPr>
            </w:r>
            <w:r w:rsidR="00C91DE3" w:rsidRPr="00194394">
              <w:rPr>
                <w:bCs/>
                <w:noProof/>
                <w:webHidden/>
              </w:rPr>
              <w:fldChar w:fldCharType="separate"/>
            </w:r>
            <w:r w:rsidR="00A16B82">
              <w:rPr>
                <w:bCs/>
                <w:noProof/>
                <w:webHidden/>
              </w:rPr>
              <w:t>5</w:t>
            </w:r>
            <w:r w:rsidR="00C91DE3" w:rsidRPr="00194394">
              <w:rPr>
                <w:bCs/>
                <w:noProof/>
                <w:webHidden/>
              </w:rPr>
              <w:fldChar w:fldCharType="end"/>
            </w:r>
          </w:hyperlink>
        </w:p>
        <w:p w14:paraId="6FC27959" w14:textId="7623AC51" w:rsidR="00C91DE3" w:rsidRPr="00194394" w:rsidRDefault="00424365">
          <w:pPr>
            <w:pStyle w:val="TOC2"/>
            <w:tabs>
              <w:tab w:val="left" w:pos="880"/>
              <w:tab w:val="right" w:leader="dot" w:pos="9016"/>
            </w:tabs>
            <w:rPr>
              <w:rFonts w:eastAsiaTheme="minorEastAsia"/>
              <w:bCs/>
              <w:noProof/>
              <w:lang w:eastAsia="en-NZ"/>
            </w:rPr>
          </w:pPr>
          <w:hyperlink w:anchor="_Toc38034039" w:history="1">
            <w:r w:rsidR="00C91DE3" w:rsidRPr="00194394">
              <w:rPr>
                <w:rStyle w:val="Hyperlink"/>
                <w:rFonts w:cstheme="minorHAnsi"/>
                <w:bCs/>
                <w:noProof/>
              </w:rPr>
              <w:t>1.2</w:t>
            </w:r>
            <w:r w:rsidR="00C91DE3" w:rsidRPr="00194394">
              <w:rPr>
                <w:rFonts w:eastAsiaTheme="minorEastAsia"/>
                <w:bCs/>
                <w:noProof/>
                <w:lang w:eastAsia="en-NZ"/>
              </w:rPr>
              <w:tab/>
            </w:r>
            <w:r w:rsidR="00C91DE3" w:rsidRPr="00194394">
              <w:rPr>
                <w:rStyle w:val="Hyperlink"/>
                <w:rFonts w:cstheme="minorHAnsi"/>
                <w:bCs/>
                <w:noProof/>
              </w:rPr>
              <w:t>Regional Policy Response for National Acceleration</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_Toc38034039 \h </w:instrText>
            </w:r>
            <w:r w:rsidR="00C91DE3" w:rsidRPr="00194394">
              <w:rPr>
                <w:bCs/>
                <w:noProof/>
                <w:webHidden/>
              </w:rPr>
            </w:r>
            <w:r w:rsidR="00C91DE3" w:rsidRPr="00194394">
              <w:rPr>
                <w:bCs/>
                <w:noProof/>
                <w:webHidden/>
              </w:rPr>
              <w:fldChar w:fldCharType="separate"/>
            </w:r>
            <w:r w:rsidR="00A16B82">
              <w:rPr>
                <w:bCs/>
                <w:noProof/>
                <w:webHidden/>
              </w:rPr>
              <w:t>5</w:t>
            </w:r>
            <w:r w:rsidR="00C91DE3" w:rsidRPr="00194394">
              <w:rPr>
                <w:bCs/>
                <w:noProof/>
                <w:webHidden/>
              </w:rPr>
              <w:fldChar w:fldCharType="end"/>
            </w:r>
          </w:hyperlink>
        </w:p>
        <w:p w14:paraId="12B64D7C" w14:textId="74D21F2E" w:rsidR="00C91DE3" w:rsidRPr="00194394" w:rsidRDefault="00424365">
          <w:pPr>
            <w:pStyle w:val="TOC1"/>
            <w:tabs>
              <w:tab w:val="left" w:pos="440"/>
              <w:tab w:val="right" w:leader="dot" w:pos="9016"/>
            </w:tabs>
            <w:rPr>
              <w:rFonts w:eastAsiaTheme="minorEastAsia"/>
              <w:bCs/>
              <w:noProof/>
              <w:lang w:eastAsia="en-NZ"/>
            </w:rPr>
          </w:pPr>
          <w:hyperlink w:anchor="_Toc38034040" w:history="1">
            <w:r w:rsidR="00C91DE3" w:rsidRPr="00194394">
              <w:rPr>
                <w:rStyle w:val="Hyperlink"/>
                <w:rFonts w:cstheme="minorHAnsi"/>
                <w:bCs/>
                <w:noProof/>
              </w:rPr>
              <w:t>2</w:t>
            </w:r>
            <w:r w:rsidR="00C91DE3" w:rsidRPr="00194394">
              <w:rPr>
                <w:rFonts w:eastAsiaTheme="minorEastAsia"/>
                <w:bCs/>
                <w:noProof/>
                <w:lang w:eastAsia="en-NZ"/>
              </w:rPr>
              <w:tab/>
            </w:r>
            <w:r w:rsidR="00C91DE3" w:rsidRPr="00194394">
              <w:rPr>
                <w:rStyle w:val="Hyperlink"/>
                <w:rFonts w:cstheme="minorHAnsi"/>
                <w:bCs/>
                <w:noProof/>
              </w:rPr>
              <w:t>Addressing the Ministers Requests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_Toc38034040 \h </w:instrText>
            </w:r>
            <w:r w:rsidR="00C91DE3" w:rsidRPr="00194394">
              <w:rPr>
                <w:bCs/>
                <w:noProof/>
                <w:webHidden/>
              </w:rPr>
            </w:r>
            <w:r w:rsidR="00C91DE3" w:rsidRPr="00194394">
              <w:rPr>
                <w:bCs/>
                <w:noProof/>
                <w:webHidden/>
              </w:rPr>
              <w:fldChar w:fldCharType="separate"/>
            </w:r>
            <w:r w:rsidR="00A16B82">
              <w:rPr>
                <w:bCs/>
                <w:noProof/>
                <w:webHidden/>
              </w:rPr>
              <w:t>6</w:t>
            </w:r>
            <w:r w:rsidR="00C91DE3" w:rsidRPr="00194394">
              <w:rPr>
                <w:bCs/>
                <w:noProof/>
                <w:webHidden/>
              </w:rPr>
              <w:fldChar w:fldCharType="end"/>
            </w:r>
          </w:hyperlink>
        </w:p>
        <w:p w14:paraId="76C75527" w14:textId="4E28F096" w:rsidR="00C91DE3" w:rsidRPr="00194394" w:rsidRDefault="00424365">
          <w:pPr>
            <w:pStyle w:val="TOC1"/>
            <w:tabs>
              <w:tab w:val="left" w:pos="440"/>
              <w:tab w:val="right" w:leader="dot" w:pos="9016"/>
            </w:tabs>
            <w:rPr>
              <w:rFonts w:eastAsiaTheme="minorEastAsia"/>
              <w:bCs/>
              <w:noProof/>
              <w:lang w:eastAsia="en-NZ"/>
            </w:rPr>
          </w:pPr>
          <w:hyperlink w:anchor="_Toc38034041" w:history="1">
            <w:r w:rsidR="00C91DE3" w:rsidRPr="00194394">
              <w:rPr>
                <w:rStyle w:val="Hyperlink"/>
                <w:rFonts w:cstheme="minorHAnsi"/>
                <w:bCs/>
                <w:noProof/>
              </w:rPr>
              <w:t>3</w:t>
            </w:r>
            <w:r w:rsidR="00C91DE3" w:rsidRPr="00194394">
              <w:rPr>
                <w:rFonts w:eastAsiaTheme="minorEastAsia"/>
                <w:bCs/>
                <w:noProof/>
                <w:lang w:eastAsia="en-NZ"/>
              </w:rPr>
              <w:tab/>
            </w:r>
            <w:r w:rsidR="00C91DE3" w:rsidRPr="00194394">
              <w:rPr>
                <w:rStyle w:val="Hyperlink"/>
                <w:rFonts w:cstheme="minorHAnsi"/>
                <w:bCs/>
                <w:noProof/>
              </w:rPr>
              <w:t>Structure of this Policy Document</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_Toc38034041 \h </w:instrText>
            </w:r>
            <w:r w:rsidR="00C91DE3" w:rsidRPr="00194394">
              <w:rPr>
                <w:bCs/>
                <w:noProof/>
                <w:webHidden/>
              </w:rPr>
            </w:r>
            <w:r w:rsidR="00C91DE3" w:rsidRPr="00194394">
              <w:rPr>
                <w:bCs/>
                <w:noProof/>
                <w:webHidden/>
              </w:rPr>
              <w:fldChar w:fldCharType="separate"/>
            </w:r>
            <w:r w:rsidR="00A16B82">
              <w:rPr>
                <w:bCs/>
                <w:noProof/>
                <w:webHidden/>
              </w:rPr>
              <w:t>7</w:t>
            </w:r>
            <w:r w:rsidR="00C91DE3" w:rsidRPr="00194394">
              <w:rPr>
                <w:bCs/>
                <w:noProof/>
                <w:webHidden/>
              </w:rPr>
              <w:fldChar w:fldCharType="end"/>
            </w:r>
          </w:hyperlink>
        </w:p>
        <w:p w14:paraId="581AA178" w14:textId="2C33C736" w:rsidR="00C91DE3" w:rsidRPr="00194394" w:rsidRDefault="00424365">
          <w:pPr>
            <w:pStyle w:val="TOC1"/>
            <w:tabs>
              <w:tab w:val="left" w:pos="440"/>
              <w:tab w:val="right" w:leader="dot" w:pos="9016"/>
            </w:tabs>
            <w:rPr>
              <w:rFonts w:eastAsiaTheme="minorEastAsia"/>
              <w:bCs/>
              <w:noProof/>
              <w:lang w:eastAsia="en-NZ"/>
            </w:rPr>
          </w:pPr>
          <w:hyperlink w:anchor="_Toc38034042" w:history="1">
            <w:r w:rsidR="00C91DE3" w:rsidRPr="00194394">
              <w:rPr>
                <w:rStyle w:val="Hyperlink"/>
                <w:rFonts w:cstheme="minorHAnsi"/>
                <w:bCs/>
                <w:noProof/>
              </w:rPr>
              <w:t>4</w:t>
            </w:r>
            <w:r w:rsidR="00C91DE3" w:rsidRPr="00194394">
              <w:rPr>
                <w:rFonts w:eastAsiaTheme="minorEastAsia"/>
                <w:bCs/>
                <w:noProof/>
                <w:lang w:eastAsia="en-NZ"/>
              </w:rPr>
              <w:tab/>
            </w:r>
            <w:r w:rsidR="00C91DE3" w:rsidRPr="00194394">
              <w:rPr>
                <w:rStyle w:val="Hyperlink"/>
                <w:rFonts w:cstheme="minorHAnsi"/>
                <w:bCs/>
                <w:noProof/>
              </w:rPr>
              <w:t>Key findings of the Technical Report on EV Options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_Toc38034042 \h </w:instrText>
            </w:r>
            <w:r w:rsidR="00C91DE3" w:rsidRPr="00194394">
              <w:rPr>
                <w:bCs/>
                <w:noProof/>
                <w:webHidden/>
              </w:rPr>
            </w:r>
            <w:r w:rsidR="00C91DE3" w:rsidRPr="00194394">
              <w:rPr>
                <w:bCs/>
                <w:noProof/>
                <w:webHidden/>
              </w:rPr>
              <w:fldChar w:fldCharType="separate"/>
            </w:r>
            <w:r w:rsidR="00A16B82">
              <w:rPr>
                <w:bCs/>
                <w:noProof/>
                <w:webHidden/>
              </w:rPr>
              <w:t>7</w:t>
            </w:r>
            <w:r w:rsidR="00C91DE3" w:rsidRPr="00194394">
              <w:rPr>
                <w:bCs/>
                <w:noProof/>
                <w:webHidden/>
              </w:rPr>
              <w:fldChar w:fldCharType="end"/>
            </w:r>
          </w:hyperlink>
        </w:p>
        <w:p w14:paraId="10B14C71" w14:textId="3D1F5DA7" w:rsidR="00C91DE3" w:rsidRPr="00194394" w:rsidRDefault="00424365">
          <w:pPr>
            <w:pStyle w:val="TOC1"/>
            <w:tabs>
              <w:tab w:val="left" w:pos="440"/>
              <w:tab w:val="right" w:leader="dot" w:pos="9016"/>
            </w:tabs>
            <w:rPr>
              <w:rFonts w:eastAsiaTheme="minorEastAsia"/>
              <w:bCs/>
              <w:noProof/>
              <w:lang w:eastAsia="en-NZ"/>
            </w:rPr>
          </w:pPr>
          <w:hyperlink w:anchor="_Toc38034043" w:history="1">
            <w:r w:rsidR="00C91DE3" w:rsidRPr="00194394">
              <w:rPr>
                <w:rStyle w:val="Hyperlink"/>
                <w:rFonts w:cstheme="minorHAnsi"/>
                <w:bCs/>
                <w:noProof/>
              </w:rPr>
              <w:t>5</w:t>
            </w:r>
            <w:r w:rsidR="00C91DE3" w:rsidRPr="00194394">
              <w:rPr>
                <w:rFonts w:eastAsiaTheme="minorEastAsia"/>
                <w:bCs/>
                <w:noProof/>
                <w:lang w:eastAsia="en-NZ"/>
              </w:rPr>
              <w:tab/>
            </w:r>
            <w:r w:rsidR="00C91DE3" w:rsidRPr="00194394">
              <w:rPr>
                <w:rStyle w:val="Hyperlink"/>
                <w:rFonts w:cstheme="minorHAnsi"/>
                <w:bCs/>
                <w:noProof/>
              </w:rPr>
              <w:t>Context for Developing EV Policy in the PICTs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_Toc38034043 \h </w:instrText>
            </w:r>
            <w:r w:rsidR="00C91DE3" w:rsidRPr="00194394">
              <w:rPr>
                <w:bCs/>
                <w:noProof/>
                <w:webHidden/>
              </w:rPr>
            </w:r>
            <w:r w:rsidR="00C91DE3" w:rsidRPr="00194394">
              <w:rPr>
                <w:bCs/>
                <w:noProof/>
                <w:webHidden/>
              </w:rPr>
              <w:fldChar w:fldCharType="separate"/>
            </w:r>
            <w:r w:rsidR="00A16B82">
              <w:rPr>
                <w:bCs/>
                <w:noProof/>
                <w:webHidden/>
              </w:rPr>
              <w:t>9</w:t>
            </w:r>
            <w:r w:rsidR="00C91DE3" w:rsidRPr="00194394">
              <w:rPr>
                <w:bCs/>
                <w:noProof/>
                <w:webHidden/>
              </w:rPr>
              <w:fldChar w:fldCharType="end"/>
            </w:r>
          </w:hyperlink>
        </w:p>
        <w:p w14:paraId="7CCE4857" w14:textId="62A9E8A5" w:rsidR="00C91DE3" w:rsidRPr="00194394" w:rsidRDefault="00424365">
          <w:pPr>
            <w:pStyle w:val="TOC2"/>
            <w:tabs>
              <w:tab w:val="left" w:pos="880"/>
              <w:tab w:val="right" w:leader="dot" w:pos="9016"/>
            </w:tabs>
            <w:rPr>
              <w:rFonts w:eastAsiaTheme="minorEastAsia"/>
              <w:bCs/>
              <w:noProof/>
              <w:lang w:eastAsia="en-NZ"/>
            </w:rPr>
          </w:pPr>
          <w:hyperlink w:anchor="_Toc38034044" w:history="1">
            <w:r w:rsidR="00C91DE3" w:rsidRPr="00194394">
              <w:rPr>
                <w:rStyle w:val="Hyperlink"/>
                <w:rFonts w:cstheme="minorHAnsi"/>
                <w:bCs/>
                <w:noProof/>
              </w:rPr>
              <w:t>5.1</w:t>
            </w:r>
            <w:r w:rsidR="00C91DE3" w:rsidRPr="00194394">
              <w:rPr>
                <w:rFonts w:eastAsiaTheme="minorEastAsia"/>
                <w:bCs/>
                <w:noProof/>
                <w:lang w:eastAsia="en-NZ"/>
              </w:rPr>
              <w:tab/>
            </w:r>
            <w:r w:rsidR="00C91DE3" w:rsidRPr="00194394">
              <w:rPr>
                <w:rStyle w:val="Hyperlink"/>
                <w:rFonts w:cstheme="minorHAnsi"/>
                <w:bCs/>
                <w:noProof/>
              </w:rPr>
              <w:t>Introduction</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_Toc38034044 \h </w:instrText>
            </w:r>
            <w:r w:rsidR="00C91DE3" w:rsidRPr="00194394">
              <w:rPr>
                <w:bCs/>
                <w:noProof/>
                <w:webHidden/>
              </w:rPr>
            </w:r>
            <w:r w:rsidR="00C91DE3" w:rsidRPr="00194394">
              <w:rPr>
                <w:bCs/>
                <w:noProof/>
                <w:webHidden/>
              </w:rPr>
              <w:fldChar w:fldCharType="separate"/>
            </w:r>
            <w:r w:rsidR="00A16B82">
              <w:rPr>
                <w:bCs/>
                <w:noProof/>
                <w:webHidden/>
              </w:rPr>
              <w:t>9</w:t>
            </w:r>
            <w:r w:rsidR="00C91DE3" w:rsidRPr="00194394">
              <w:rPr>
                <w:bCs/>
                <w:noProof/>
                <w:webHidden/>
              </w:rPr>
              <w:fldChar w:fldCharType="end"/>
            </w:r>
          </w:hyperlink>
        </w:p>
        <w:p w14:paraId="10BA21C7" w14:textId="57A66453" w:rsidR="00C91DE3" w:rsidRPr="00194394" w:rsidRDefault="00424365">
          <w:pPr>
            <w:pStyle w:val="TOC2"/>
            <w:tabs>
              <w:tab w:val="left" w:pos="880"/>
              <w:tab w:val="right" w:leader="dot" w:pos="9016"/>
            </w:tabs>
            <w:rPr>
              <w:rFonts w:eastAsiaTheme="minorEastAsia"/>
              <w:bCs/>
              <w:noProof/>
              <w:lang w:eastAsia="en-NZ"/>
            </w:rPr>
          </w:pPr>
          <w:hyperlink w:anchor="_Toc38034045" w:history="1">
            <w:r w:rsidR="00C91DE3" w:rsidRPr="00194394">
              <w:rPr>
                <w:rStyle w:val="Hyperlink"/>
                <w:rFonts w:cstheme="minorHAnsi"/>
                <w:bCs/>
                <w:noProof/>
              </w:rPr>
              <w:t>5.2</w:t>
            </w:r>
            <w:r w:rsidR="00C91DE3" w:rsidRPr="00194394">
              <w:rPr>
                <w:rFonts w:eastAsiaTheme="minorEastAsia"/>
                <w:bCs/>
                <w:noProof/>
                <w:lang w:eastAsia="en-NZ"/>
              </w:rPr>
              <w:tab/>
            </w:r>
            <w:r w:rsidR="00C91DE3" w:rsidRPr="00194394">
              <w:rPr>
                <w:rStyle w:val="Hyperlink"/>
                <w:rFonts w:cstheme="minorHAnsi"/>
                <w:bCs/>
                <w:noProof/>
              </w:rPr>
              <w:t>PICT EV-Related Policy and Activities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_Toc38034045 \h </w:instrText>
            </w:r>
            <w:r w:rsidR="00C91DE3" w:rsidRPr="00194394">
              <w:rPr>
                <w:bCs/>
                <w:noProof/>
                <w:webHidden/>
              </w:rPr>
            </w:r>
            <w:r w:rsidR="00C91DE3" w:rsidRPr="00194394">
              <w:rPr>
                <w:bCs/>
                <w:noProof/>
                <w:webHidden/>
              </w:rPr>
              <w:fldChar w:fldCharType="separate"/>
            </w:r>
            <w:r w:rsidR="00A16B82">
              <w:rPr>
                <w:bCs/>
                <w:noProof/>
                <w:webHidden/>
              </w:rPr>
              <w:t>9</w:t>
            </w:r>
            <w:r w:rsidR="00C91DE3" w:rsidRPr="00194394">
              <w:rPr>
                <w:bCs/>
                <w:noProof/>
                <w:webHidden/>
              </w:rPr>
              <w:fldChar w:fldCharType="end"/>
            </w:r>
          </w:hyperlink>
        </w:p>
        <w:p w14:paraId="4FAE7F9F" w14:textId="5B82E760" w:rsidR="00C91DE3" w:rsidRPr="00194394" w:rsidRDefault="00424365">
          <w:pPr>
            <w:pStyle w:val="TOC2"/>
            <w:tabs>
              <w:tab w:val="left" w:pos="880"/>
              <w:tab w:val="right" w:leader="dot" w:pos="9016"/>
            </w:tabs>
            <w:rPr>
              <w:rFonts w:eastAsiaTheme="minorEastAsia"/>
              <w:bCs/>
              <w:noProof/>
              <w:lang w:eastAsia="en-NZ"/>
            </w:rPr>
          </w:pPr>
          <w:hyperlink w:anchor="_Toc38034046" w:history="1">
            <w:r w:rsidR="00C91DE3" w:rsidRPr="00194394">
              <w:rPr>
                <w:rStyle w:val="Hyperlink"/>
                <w:rFonts w:cstheme="minorHAnsi"/>
                <w:bCs/>
                <w:noProof/>
              </w:rPr>
              <w:t>5.3</w:t>
            </w:r>
            <w:r w:rsidR="00C91DE3" w:rsidRPr="00194394">
              <w:rPr>
                <w:rFonts w:eastAsiaTheme="minorEastAsia"/>
                <w:bCs/>
                <w:noProof/>
                <w:lang w:eastAsia="en-NZ"/>
              </w:rPr>
              <w:tab/>
            </w:r>
            <w:r w:rsidR="00C91DE3" w:rsidRPr="00194394">
              <w:rPr>
                <w:rStyle w:val="Hyperlink"/>
                <w:rFonts w:cstheme="minorHAnsi"/>
                <w:bCs/>
                <w:noProof/>
              </w:rPr>
              <w:t>Other Regional Initiatives and Strategies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_Toc38034046 \h </w:instrText>
            </w:r>
            <w:r w:rsidR="00C91DE3" w:rsidRPr="00194394">
              <w:rPr>
                <w:bCs/>
                <w:noProof/>
                <w:webHidden/>
              </w:rPr>
            </w:r>
            <w:r w:rsidR="00C91DE3" w:rsidRPr="00194394">
              <w:rPr>
                <w:bCs/>
                <w:noProof/>
                <w:webHidden/>
              </w:rPr>
              <w:fldChar w:fldCharType="separate"/>
            </w:r>
            <w:r w:rsidR="00A16B82">
              <w:rPr>
                <w:bCs/>
                <w:noProof/>
                <w:webHidden/>
              </w:rPr>
              <w:t>11</w:t>
            </w:r>
            <w:r w:rsidR="00C91DE3" w:rsidRPr="00194394">
              <w:rPr>
                <w:bCs/>
                <w:noProof/>
                <w:webHidden/>
              </w:rPr>
              <w:fldChar w:fldCharType="end"/>
            </w:r>
          </w:hyperlink>
        </w:p>
        <w:p w14:paraId="7462D6AB" w14:textId="062A7BBA" w:rsidR="00C91DE3" w:rsidRPr="00194394" w:rsidRDefault="00424365">
          <w:pPr>
            <w:pStyle w:val="TOC1"/>
            <w:tabs>
              <w:tab w:val="left" w:pos="440"/>
              <w:tab w:val="right" w:leader="dot" w:pos="9016"/>
            </w:tabs>
            <w:rPr>
              <w:rFonts w:eastAsiaTheme="minorEastAsia"/>
              <w:bCs/>
              <w:noProof/>
              <w:lang w:eastAsia="en-NZ"/>
            </w:rPr>
          </w:pPr>
          <w:hyperlink w:anchor="_Toc38034047" w:history="1">
            <w:r w:rsidR="00C91DE3" w:rsidRPr="00194394">
              <w:rPr>
                <w:rStyle w:val="Hyperlink"/>
                <w:rFonts w:cstheme="minorHAnsi"/>
                <w:bCs/>
                <w:noProof/>
              </w:rPr>
              <w:t>6</w:t>
            </w:r>
            <w:r w:rsidR="00C91DE3" w:rsidRPr="00194394">
              <w:rPr>
                <w:rFonts w:eastAsiaTheme="minorEastAsia"/>
                <w:bCs/>
                <w:noProof/>
                <w:lang w:eastAsia="en-NZ"/>
              </w:rPr>
              <w:tab/>
            </w:r>
            <w:r w:rsidR="00C91DE3" w:rsidRPr="00194394">
              <w:rPr>
                <w:rStyle w:val="Hyperlink"/>
                <w:rFonts w:cstheme="minorHAnsi"/>
                <w:bCs/>
                <w:noProof/>
              </w:rPr>
              <w:t>High-Level Electric Vehicle Policies and Targets for PICTs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_Toc38034047 \h </w:instrText>
            </w:r>
            <w:r w:rsidR="00C91DE3" w:rsidRPr="00194394">
              <w:rPr>
                <w:bCs/>
                <w:noProof/>
                <w:webHidden/>
              </w:rPr>
            </w:r>
            <w:r w:rsidR="00C91DE3" w:rsidRPr="00194394">
              <w:rPr>
                <w:bCs/>
                <w:noProof/>
                <w:webHidden/>
              </w:rPr>
              <w:fldChar w:fldCharType="separate"/>
            </w:r>
            <w:r w:rsidR="00A16B82">
              <w:rPr>
                <w:bCs/>
                <w:noProof/>
                <w:webHidden/>
              </w:rPr>
              <w:t>12</w:t>
            </w:r>
            <w:r w:rsidR="00C91DE3" w:rsidRPr="00194394">
              <w:rPr>
                <w:bCs/>
                <w:noProof/>
                <w:webHidden/>
              </w:rPr>
              <w:fldChar w:fldCharType="end"/>
            </w:r>
          </w:hyperlink>
        </w:p>
        <w:p w14:paraId="0ED24B25" w14:textId="40A9D10A" w:rsidR="00C91DE3" w:rsidRPr="00194394" w:rsidRDefault="00424365">
          <w:pPr>
            <w:pStyle w:val="TOC1"/>
            <w:tabs>
              <w:tab w:val="left" w:pos="440"/>
              <w:tab w:val="right" w:leader="dot" w:pos="9016"/>
            </w:tabs>
            <w:rPr>
              <w:rFonts w:eastAsiaTheme="minorEastAsia"/>
              <w:bCs/>
              <w:noProof/>
              <w:lang w:eastAsia="en-NZ"/>
            </w:rPr>
          </w:pPr>
          <w:hyperlink w:anchor="_Toc38034050" w:history="1">
            <w:r w:rsidR="00C91DE3" w:rsidRPr="00194394">
              <w:rPr>
                <w:rStyle w:val="Hyperlink"/>
                <w:rFonts w:cstheme="minorHAnsi"/>
                <w:bCs/>
                <w:noProof/>
              </w:rPr>
              <w:t>7</w:t>
            </w:r>
            <w:r w:rsidR="00C91DE3" w:rsidRPr="00194394">
              <w:rPr>
                <w:rFonts w:eastAsiaTheme="minorEastAsia"/>
                <w:bCs/>
                <w:noProof/>
                <w:lang w:eastAsia="en-NZ"/>
              </w:rPr>
              <w:tab/>
            </w:r>
            <w:r w:rsidR="00C91DE3" w:rsidRPr="00194394">
              <w:rPr>
                <w:rStyle w:val="Hyperlink"/>
                <w:rFonts w:cstheme="minorHAnsi"/>
                <w:bCs/>
                <w:noProof/>
              </w:rPr>
              <w:t>Electric Vehicle Policy Actions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_Toc38034050 \h </w:instrText>
            </w:r>
            <w:r w:rsidR="00C91DE3" w:rsidRPr="00194394">
              <w:rPr>
                <w:bCs/>
                <w:noProof/>
                <w:webHidden/>
              </w:rPr>
            </w:r>
            <w:r w:rsidR="00C91DE3" w:rsidRPr="00194394">
              <w:rPr>
                <w:bCs/>
                <w:noProof/>
                <w:webHidden/>
              </w:rPr>
              <w:fldChar w:fldCharType="separate"/>
            </w:r>
            <w:r w:rsidR="00A16B82">
              <w:rPr>
                <w:bCs/>
                <w:noProof/>
                <w:webHidden/>
              </w:rPr>
              <w:t>14</w:t>
            </w:r>
            <w:r w:rsidR="00C91DE3" w:rsidRPr="00194394">
              <w:rPr>
                <w:bCs/>
                <w:noProof/>
                <w:webHidden/>
              </w:rPr>
              <w:fldChar w:fldCharType="end"/>
            </w:r>
          </w:hyperlink>
        </w:p>
        <w:p w14:paraId="34998902" w14:textId="256D4981" w:rsidR="00C91DE3" w:rsidRPr="00194394" w:rsidRDefault="00424365">
          <w:pPr>
            <w:pStyle w:val="TOC1"/>
            <w:tabs>
              <w:tab w:val="left" w:pos="440"/>
              <w:tab w:val="right" w:leader="dot" w:pos="9016"/>
            </w:tabs>
            <w:rPr>
              <w:rFonts w:eastAsiaTheme="minorEastAsia"/>
              <w:bCs/>
              <w:noProof/>
              <w:lang w:eastAsia="en-NZ"/>
            </w:rPr>
          </w:pPr>
          <w:hyperlink w:anchor="_Toc38034051" w:history="1">
            <w:r w:rsidR="00C91DE3" w:rsidRPr="00194394">
              <w:rPr>
                <w:rStyle w:val="Hyperlink"/>
                <w:rFonts w:cstheme="minorHAnsi"/>
                <w:bCs/>
                <w:noProof/>
              </w:rPr>
              <w:t>8</w:t>
            </w:r>
            <w:r w:rsidR="00C91DE3" w:rsidRPr="00194394">
              <w:rPr>
                <w:rFonts w:eastAsiaTheme="minorEastAsia"/>
                <w:bCs/>
                <w:noProof/>
                <w:lang w:eastAsia="en-NZ"/>
              </w:rPr>
              <w:tab/>
            </w:r>
            <w:r w:rsidR="00C91DE3" w:rsidRPr="00194394">
              <w:rPr>
                <w:rStyle w:val="Hyperlink"/>
                <w:rFonts w:cstheme="minorHAnsi"/>
                <w:bCs/>
                <w:noProof/>
              </w:rPr>
              <w:t>Identification of Policy Actions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_Toc38034051 \h </w:instrText>
            </w:r>
            <w:r w:rsidR="00C91DE3" w:rsidRPr="00194394">
              <w:rPr>
                <w:bCs/>
                <w:noProof/>
                <w:webHidden/>
              </w:rPr>
            </w:r>
            <w:r w:rsidR="00C91DE3" w:rsidRPr="00194394">
              <w:rPr>
                <w:bCs/>
                <w:noProof/>
                <w:webHidden/>
              </w:rPr>
              <w:fldChar w:fldCharType="separate"/>
            </w:r>
            <w:r w:rsidR="00A16B82">
              <w:rPr>
                <w:bCs/>
                <w:noProof/>
                <w:webHidden/>
              </w:rPr>
              <w:t>15</w:t>
            </w:r>
            <w:r w:rsidR="00C91DE3" w:rsidRPr="00194394">
              <w:rPr>
                <w:bCs/>
                <w:noProof/>
                <w:webHidden/>
              </w:rPr>
              <w:fldChar w:fldCharType="end"/>
            </w:r>
          </w:hyperlink>
        </w:p>
        <w:p w14:paraId="0129DEE8" w14:textId="1266C959" w:rsidR="00C91DE3" w:rsidRPr="00194394" w:rsidRDefault="00424365">
          <w:pPr>
            <w:pStyle w:val="TOC1"/>
            <w:tabs>
              <w:tab w:val="left" w:pos="440"/>
              <w:tab w:val="right" w:leader="dot" w:pos="9016"/>
            </w:tabs>
            <w:rPr>
              <w:rFonts w:eastAsiaTheme="minorEastAsia"/>
              <w:bCs/>
              <w:noProof/>
              <w:lang w:eastAsia="en-NZ"/>
            </w:rPr>
          </w:pPr>
          <w:hyperlink w:anchor="_Toc38034054" w:history="1">
            <w:r w:rsidR="00C91DE3" w:rsidRPr="00194394">
              <w:rPr>
                <w:rStyle w:val="Hyperlink"/>
                <w:rFonts w:cstheme="minorHAnsi"/>
                <w:bCs/>
                <w:noProof/>
              </w:rPr>
              <w:t>9</w:t>
            </w:r>
            <w:r w:rsidR="00C91DE3" w:rsidRPr="00194394">
              <w:rPr>
                <w:rFonts w:eastAsiaTheme="minorEastAsia"/>
                <w:bCs/>
                <w:noProof/>
                <w:lang w:eastAsia="en-NZ"/>
              </w:rPr>
              <w:tab/>
            </w:r>
            <w:r w:rsidR="00C91DE3" w:rsidRPr="00194394">
              <w:rPr>
                <w:rStyle w:val="Hyperlink"/>
                <w:rFonts w:cstheme="minorHAnsi"/>
                <w:bCs/>
                <w:noProof/>
              </w:rPr>
              <w:t>Conclusions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_Toc38034054 \h </w:instrText>
            </w:r>
            <w:r w:rsidR="00C91DE3" w:rsidRPr="00194394">
              <w:rPr>
                <w:bCs/>
                <w:noProof/>
                <w:webHidden/>
              </w:rPr>
            </w:r>
            <w:r w:rsidR="00C91DE3" w:rsidRPr="00194394">
              <w:rPr>
                <w:bCs/>
                <w:noProof/>
                <w:webHidden/>
              </w:rPr>
              <w:fldChar w:fldCharType="separate"/>
            </w:r>
            <w:r w:rsidR="00A16B82">
              <w:rPr>
                <w:bCs/>
                <w:noProof/>
                <w:webHidden/>
              </w:rPr>
              <w:t>18</w:t>
            </w:r>
            <w:r w:rsidR="00C91DE3" w:rsidRPr="00194394">
              <w:rPr>
                <w:bCs/>
                <w:noProof/>
                <w:webHidden/>
              </w:rPr>
              <w:fldChar w:fldCharType="end"/>
            </w:r>
          </w:hyperlink>
        </w:p>
        <w:p w14:paraId="3E592134" w14:textId="2C39F394" w:rsidR="00C91DE3" w:rsidRPr="00194394" w:rsidRDefault="00424365">
          <w:pPr>
            <w:pStyle w:val="TOC1"/>
            <w:tabs>
              <w:tab w:val="right" w:leader="dot" w:pos="9016"/>
            </w:tabs>
            <w:rPr>
              <w:rFonts w:eastAsiaTheme="minorEastAsia"/>
              <w:bCs/>
              <w:noProof/>
              <w:lang w:eastAsia="en-NZ"/>
            </w:rPr>
          </w:pPr>
          <w:hyperlink w:anchor="_Toc38034055" w:history="1">
            <w:r w:rsidR="00C91DE3" w:rsidRPr="00194394">
              <w:rPr>
                <w:rStyle w:val="Hyperlink"/>
                <w:rFonts w:cstheme="minorHAnsi"/>
                <w:bCs/>
                <w:noProof/>
              </w:rPr>
              <w:t>Appendix A: Potential Barriers to the Deployment of Electric Vehicles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_Toc38034055 \h </w:instrText>
            </w:r>
            <w:r w:rsidR="00C91DE3" w:rsidRPr="00194394">
              <w:rPr>
                <w:bCs/>
                <w:noProof/>
                <w:webHidden/>
              </w:rPr>
            </w:r>
            <w:r w:rsidR="00C91DE3" w:rsidRPr="00194394">
              <w:rPr>
                <w:bCs/>
                <w:noProof/>
                <w:webHidden/>
              </w:rPr>
              <w:fldChar w:fldCharType="separate"/>
            </w:r>
            <w:r w:rsidR="00A16B82">
              <w:rPr>
                <w:bCs/>
                <w:noProof/>
                <w:webHidden/>
              </w:rPr>
              <w:t>19</w:t>
            </w:r>
            <w:r w:rsidR="00C91DE3" w:rsidRPr="00194394">
              <w:rPr>
                <w:bCs/>
                <w:noProof/>
                <w:webHidden/>
              </w:rPr>
              <w:fldChar w:fldCharType="end"/>
            </w:r>
          </w:hyperlink>
        </w:p>
        <w:p w14:paraId="7C5BA732" w14:textId="09428E62" w:rsidR="00C91DE3" w:rsidRPr="00194394" w:rsidRDefault="00424365">
          <w:pPr>
            <w:pStyle w:val="TOC1"/>
            <w:tabs>
              <w:tab w:val="right" w:leader="dot" w:pos="9016"/>
            </w:tabs>
            <w:rPr>
              <w:rFonts w:eastAsiaTheme="minorEastAsia"/>
              <w:bCs/>
              <w:noProof/>
              <w:lang w:eastAsia="en-NZ"/>
            </w:rPr>
          </w:pPr>
          <w:hyperlink w:anchor="_Toc38034056" w:history="1">
            <w:r w:rsidR="00C91DE3" w:rsidRPr="00194394">
              <w:rPr>
                <w:rStyle w:val="Hyperlink"/>
                <w:rFonts w:cstheme="minorHAnsi"/>
                <w:bCs/>
                <w:noProof/>
              </w:rPr>
              <w:t>Appendix B: Potential Risks to</w:t>
            </w:r>
            <w:bookmarkStart w:id="0" w:name="_GoBack"/>
            <w:bookmarkEnd w:id="0"/>
            <w:r w:rsidR="00C91DE3" w:rsidRPr="00194394">
              <w:rPr>
                <w:rStyle w:val="Hyperlink"/>
                <w:rFonts w:cstheme="minorHAnsi"/>
                <w:bCs/>
                <w:noProof/>
              </w:rPr>
              <w:t xml:space="preserve"> the Deployment of Electric Vehicles</w:t>
            </w:r>
            <w:r w:rsidR="00C91DE3" w:rsidRPr="00194394">
              <w:rPr>
                <w:bCs/>
                <w:noProof/>
                <w:webHidden/>
              </w:rPr>
              <w:tab/>
            </w:r>
            <w:r w:rsidR="00C91DE3" w:rsidRPr="00194394">
              <w:rPr>
                <w:bCs/>
                <w:noProof/>
                <w:webHidden/>
              </w:rPr>
              <w:fldChar w:fldCharType="begin"/>
            </w:r>
            <w:r w:rsidR="00C91DE3" w:rsidRPr="00194394">
              <w:rPr>
                <w:bCs/>
                <w:noProof/>
                <w:webHidden/>
              </w:rPr>
              <w:instrText xml:space="preserve"> PAGEREF _Toc38034056 \h </w:instrText>
            </w:r>
            <w:r w:rsidR="00C91DE3" w:rsidRPr="00194394">
              <w:rPr>
                <w:bCs/>
                <w:noProof/>
                <w:webHidden/>
              </w:rPr>
            </w:r>
            <w:r w:rsidR="00C91DE3" w:rsidRPr="00194394">
              <w:rPr>
                <w:bCs/>
                <w:noProof/>
                <w:webHidden/>
              </w:rPr>
              <w:fldChar w:fldCharType="separate"/>
            </w:r>
            <w:r w:rsidR="00A16B82">
              <w:rPr>
                <w:bCs/>
                <w:noProof/>
                <w:webHidden/>
              </w:rPr>
              <w:t>23</w:t>
            </w:r>
            <w:r w:rsidR="00C91DE3" w:rsidRPr="00194394">
              <w:rPr>
                <w:bCs/>
                <w:noProof/>
                <w:webHidden/>
              </w:rPr>
              <w:fldChar w:fldCharType="end"/>
            </w:r>
          </w:hyperlink>
        </w:p>
        <w:p w14:paraId="632A36A0" w14:textId="2C64047C" w:rsidR="00C91DE3" w:rsidRPr="00194394" w:rsidRDefault="00424365" w:rsidP="00194394">
          <w:pPr>
            <w:pStyle w:val="TOC1"/>
            <w:tabs>
              <w:tab w:val="right" w:leader="dot" w:pos="9016"/>
            </w:tabs>
            <w:rPr>
              <w:rStyle w:val="Hyperlink"/>
              <w:rFonts w:cstheme="minorHAnsi"/>
              <w:noProof/>
            </w:rPr>
          </w:pPr>
          <w:hyperlink w:anchor="_Toc38034057" w:history="1">
            <w:r w:rsidR="00C91DE3" w:rsidRPr="00194394">
              <w:rPr>
                <w:rStyle w:val="Hyperlink"/>
                <w:rFonts w:cstheme="minorHAnsi"/>
                <w:bCs/>
                <w:noProof/>
              </w:rPr>
              <w:t>Appendix C: Recommended Regional and National Policy Actions</w:t>
            </w:r>
            <w:r w:rsidR="00C91DE3" w:rsidRPr="00194394">
              <w:rPr>
                <w:rStyle w:val="Hyperlink"/>
                <w:rFonts w:cstheme="minorHAnsi"/>
                <w:noProof/>
                <w:webHidden/>
              </w:rPr>
              <w:tab/>
            </w:r>
            <w:r w:rsidR="00C91DE3" w:rsidRPr="00194394">
              <w:rPr>
                <w:rStyle w:val="Hyperlink"/>
                <w:rFonts w:cstheme="minorHAnsi"/>
                <w:noProof/>
                <w:webHidden/>
              </w:rPr>
              <w:fldChar w:fldCharType="begin"/>
            </w:r>
            <w:r w:rsidR="00C91DE3" w:rsidRPr="00194394">
              <w:rPr>
                <w:rStyle w:val="Hyperlink"/>
                <w:rFonts w:cstheme="minorHAnsi"/>
                <w:noProof/>
                <w:webHidden/>
              </w:rPr>
              <w:instrText xml:space="preserve"> PAGEREF _Toc38034057 \h </w:instrText>
            </w:r>
            <w:r w:rsidR="00C91DE3" w:rsidRPr="00194394">
              <w:rPr>
                <w:rStyle w:val="Hyperlink"/>
                <w:rFonts w:cstheme="minorHAnsi"/>
                <w:noProof/>
                <w:webHidden/>
              </w:rPr>
            </w:r>
            <w:r w:rsidR="00C91DE3" w:rsidRPr="00194394">
              <w:rPr>
                <w:rStyle w:val="Hyperlink"/>
                <w:rFonts w:cstheme="minorHAnsi"/>
                <w:noProof/>
                <w:webHidden/>
              </w:rPr>
              <w:fldChar w:fldCharType="separate"/>
            </w:r>
            <w:r w:rsidR="00A16B82">
              <w:rPr>
                <w:rStyle w:val="Hyperlink"/>
                <w:rFonts w:cstheme="minorHAnsi"/>
                <w:noProof/>
                <w:webHidden/>
              </w:rPr>
              <w:t>24</w:t>
            </w:r>
            <w:r w:rsidR="00C91DE3" w:rsidRPr="00194394">
              <w:rPr>
                <w:rStyle w:val="Hyperlink"/>
                <w:rFonts w:cstheme="minorHAnsi"/>
                <w:noProof/>
                <w:webHidden/>
              </w:rPr>
              <w:fldChar w:fldCharType="end"/>
            </w:r>
          </w:hyperlink>
        </w:p>
        <w:p w14:paraId="657E95ED" w14:textId="12EFD996" w:rsidR="00C91DE3" w:rsidRPr="00194394" w:rsidRDefault="00424365" w:rsidP="00194394">
          <w:pPr>
            <w:pStyle w:val="TOC1"/>
            <w:tabs>
              <w:tab w:val="right" w:leader="dot" w:pos="9016"/>
            </w:tabs>
            <w:rPr>
              <w:rFonts w:eastAsiaTheme="minorEastAsia"/>
              <w:bCs/>
              <w:noProof/>
              <w:lang w:eastAsia="en-NZ"/>
            </w:rPr>
          </w:pPr>
          <w:hyperlink w:anchor="_Toc38034058" w:history="1">
            <w:r w:rsidR="00C91DE3" w:rsidRPr="00194394">
              <w:rPr>
                <w:rStyle w:val="Hyperlink"/>
                <w:rFonts w:cstheme="minorHAnsi"/>
                <w:bCs/>
                <w:noProof/>
              </w:rPr>
              <w:t>Appendix D: International Electric Vehicle Coordination Initiatives</w:t>
            </w:r>
            <w:r w:rsidR="00C91DE3" w:rsidRPr="00194394">
              <w:rPr>
                <w:rStyle w:val="Hyperlink"/>
                <w:rFonts w:cstheme="minorHAnsi"/>
                <w:noProof/>
                <w:webHidden/>
              </w:rPr>
              <w:tab/>
            </w:r>
            <w:r w:rsidR="00C91DE3" w:rsidRPr="00194394">
              <w:rPr>
                <w:rStyle w:val="Hyperlink"/>
                <w:rFonts w:cstheme="minorHAnsi"/>
                <w:noProof/>
                <w:webHidden/>
              </w:rPr>
              <w:fldChar w:fldCharType="begin"/>
            </w:r>
            <w:r w:rsidR="00C91DE3" w:rsidRPr="00194394">
              <w:rPr>
                <w:rStyle w:val="Hyperlink"/>
                <w:rFonts w:cstheme="minorHAnsi"/>
                <w:noProof/>
                <w:webHidden/>
              </w:rPr>
              <w:instrText xml:space="preserve"> PAGEREF _Toc38034058 \h </w:instrText>
            </w:r>
            <w:r w:rsidR="00C91DE3" w:rsidRPr="00194394">
              <w:rPr>
                <w:rStyle w:val="Hyperlink"/>
                <w:rFonts w:cstheme="minorHAnsi"/>
                <w:noProof/>
                <w:webHidden/>
              </w:rPr>
            </w:r>
            <w:r w:rsidR="00C91DE3" w:rsidRPr="00194394">
              <w:rPr>
                <w:rStyle w:val="Hyperlink"/>
                <w:rFonts w:cstheme="minorHAnsi"/>
                <w:noProof/>
                <w:webHidden/>
              </w:rPr>
              <w:fldChar w:fldCharType="separate"/>
            </w:r>
            <w:r w:rsidR="00A16B82">
              <w:rPr>
                <w:rStyle w:val="Hyperlink"/>
                <w:rFonts w:cstheme="minorHAnsi"/>
                <w:noProof/>
                <w:webHidden/>
              </w:rPr>
              <w:t>27</w:t>
            </w:r>
            <w:r w:rsidR="00C91DE3" w:rsidRPr="00194394">
              <w:rPr>
                <w:rStyle w:val="Hyperlink"/>
                <w:rFonts w:cstheme="minorHAnsi"/>
                <w:noProof/>
                <w:webHidden/>
              </w:rPr>
              <w:fldChar w:fldCharType="end"/>
            </w:r>
          </w:hyperlink>
        </w:p>
        <w:p w14:paraId="2E2BE986" w14:textId="77777777" w:rsidR="007F5EA2" w:rsidRPr="008B7F14" w:rsidRDefault="001A54A5" w:rsidP="008B7F14">
          <w:pPr>
            <w:pStyle w:val="TOC1"/>
            <w:tabs>
              <w:tab w:val="right" w:leader="dot" w:pos="9016"/>
            </w:tabs>
            <w:rPr>
              <w:rFonts w:eastAsiaTheme="minorEastAsia"/>
              <w:noProof/>
              <w:lang w:eastAsia="en-NZ"/>
            </w:rPr>
          </w:pPr>
          <w:r w:rsidRPr="00194394">
            <w:rPr>
              <w:bCs/>
              <w:noProof/>
              <w:sz w:val="18"/>
            </w:rPr>
            <w:fldChar w:fldCharType="end"/>
          </w:r>
        </w:p>
      </w:sdtContent>
    </w:sdt>
    <w:p w14:paraId="7FCC1098" w14:textId="5EE4AEBD" w:rsidR="007F5EA2" w:rsidRPr="003A706C" w:rsidRDefault="001303D0" w:rsidP="007F5EA2">
      <w:pPr>
        <w:spacing w:after="0"/>
        <w:ind w:left="2160" w:firstLine="720"/>
        <w:rPr>
          <w:rFonts w:asciiTheme="majorHAnsi" w:hAnsiTheme="majorHAnsi" w:cstheme="majorHAnsi"/>
          <w:sz w:val="20"/>
        </w:rPr>
      </w:pPr>
      <w:r>
        <w:rPr>
          <w:rFonts w:asciiTheme="majorHAnsi" w:hAnsiTheme="majorHAnsi" w:cstheme="majorHAnsi"/>
          <w:sz w:val="20"/>
        </w:rPr>
        <w:tab/>
      </w:r>
    </w:p>
    <w:p w14:paraId="35C8BABE" w14:textId="77777777" w:rsidR="00BF6818" w:rsidRDefault="00BF6818">
      <w:pP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0B0E5AF" w14:textId="77777777" w:rsidR="00BF6818" w:rsidRDefault="00BF6818" w:rsidP="00BF6818">
      <w:pPr>
        <w:spacing w:after="0"/>
        <w:jc w:val="center"/>
        <w:rPr>
          <w:b/>
          <w:bCs/>
        </w:rPr>
      </w:pPr>
    </w:p>
    <w:p w14:paraId="4D686289" w14:textId="77777777" w:rsidR="00BF6818" w:rsidRDefault="00BF6818" w:rsidP="00BF6818">
      <w:pPr>
        <w:spacing w:after="0"/>
        <w:jc w:val="center"/>
        <w:rPr>
          <w:b/>
          <w:bCs/>
        </w:rPr>
      </w:pPr>
    </w:p>
    <w:p w14:paraId="3898F444" w14:textId="77777777" w:rsidR="00BF6818" w:rsidRPr="008F74C2" w:rsidRDefault="00BF6818" w:rsidP="00BF6818">
      <w:pPr>
        <w:spacing w:after="0"/>
        <w:jc w:val="center"/>
        <w:rPr>
          <w:b/>
          <w:bCs/>
        </w:rPr>
      </w:pPr>
      <w:r w:rsidRPr="008F74C2">
        <w:rPr>
          <w:b/>
          <w:bCs/>
        </w:rPr>
        <w:t>Abbreviations and Acrony</w:t>
      </w:r>
      <w:r>
        <w:rPr>
          <w:b/>
          <w:bCs/>
        </w:rPr>
        <w:t>m</w:t>
      </w:r>
      <w:r w:rsidRPr="008F74C2">
        <w:rPr>
          <w:b/>
          <w:bCs/>
        </w:rPr>
        <w:t>s</w:t>
      </w:r>
    </w:p>
    <w:p w14:paraId="5EDFAE04" w14:textId="5B62DE5B" w:rsidR="00BF6818" w:rsidRPr="008F74C2" w:rsidRDefault="00BF6818" w:rsidP="00BF6818">
      <w:pPr>
        <w:spacing w:after="0"/>
      </w:pPr>
      <w:proofErr w:type="spellStart"/>
      <w:r w:rsidRPr="008F74C2">
        <w:t>A</w:t>
      </w:r>
      <w:r w:rsidRPr="008F74C2">
        <w:rPr>
          <w:i/>
          <w:iCs/>
        </w:rPr>
        <w:t>x</w:t>
      </w:r>
      <w:proofErr w:type="spellEnd"/>
      <w:r w:rsidRPr="008F74C2">
        <w:tab/>
        <w:t xml:space="preserve">Policy </w:t>
      </w:r>
      <w:r w:rsidR="0054193B">
        <w:t>Action</w:t>
      </w:r>
      <w:r w:rsidRPr="008F74C2">
        <w:t xml:space="preserve"> </w:t>
      </w:r>
      <w:r w:rsidRPr="008F74C2">
        <w:rPr>
          <w:i/>
          <w:iCs/>
        </w:rPr>
        <w:t>x</w:t>
      </w:r>
    </w:p>
    <w:p w14:paraId="4623BD13" w14:textId="77777777" w:rsidR="00BF6818" w:rsidRPr="008F74C2" w:rsidRDefault="00BF6818" w:rsidP="00BF6818">
      <w:pPr>
        <w:spacing w:after="0"/>
      </w:pPr>
      <w:r w:rsidRPr="008F74C2">
        <w:t>BAU</w:t>
      </w:r>
      <w:r w:rsidRPr="008F74C2">
        <w:tab/>
        <w:t>Business as Usual</w:t>
      </w:r>
    </w:p>
    <w:p w14:paraId="641951C6" w14:textId="77777777" w:rsidR="00BF6818" w:rsidRDefault="00BF6818" w:rsidP="00BF6818">
      <w:pPr>
        <w:spacing w:after="0"/>
      </w:pPr>
      <w:r>
        <w:t>CO</w:t>
      </w:r>
      <w:r w:rsidRPr="002F47F6">
        <w:rPr>
          <w:vertAlign w:val="subscript"/>
        </w:rPr>
        <w:t>2</w:t>
      </w:r>
      <w:r>
        <w:rPr>
          <w:vertAlign w:val="subscript"/>
        </w:rPr>
        <w:tab/>
      </w:r>
      <w:r w:rsidRPr="002F47F6">
        <w:t>Carbon dioxide</w:t>
      </w:r>
    </w:p>
    <w:p w14:paraId="3A630AE5" w14:textId="77777777" w:rsidR="00BF6818" w:rsidRDefault="00BF6818" w:rsidP="00BF6818">
      <w:pPr>
        <w:spacing w:after="0"/>
      </w:pPr>
      <w:r>
        <w:t>CO</w:t>
      </w:r>
      <w:r w:rsidRPr="0008192D">
        <w:rPr>
          <w:vertAlign w:val="subscript"/>
        </w:rPr>
        <w:t>2</w:t>
      </w:r>
      <w:r>
        <w:rPr>
          <w:vertAlign w:val="subscript"/>
        </w:rPr>
        <w:t>e</w:t>
      </w:r>
      <w:r>
        <w:rPr>
          <w:vertAlign w:val="subscript"/>
        </w:rPr>
        <w:tab/>
      </w:r>
      <w:r w:rsidRPr="0008192D">
        <w:t>Carbon dioxide</w:t>
      </w:r>
      <w:r>
        <w:t xml:space="preserve"> equivalent</w:t>
      </w:r>
    </w:p>
    <w:p w14:paraId="04A5D799" w14:textId="77777777" w:rsidR="00BF6818" w:rsidRPr="008F74C2" w:rsidRDefault="00BF6818" w:rsidP="00BF6818">
      <w:pPr>
        <w:spacing w:after="0"/>
      </w:pPr>
      <w:r w:rsidRPr="008F74C2">
        <w:t>e-</w:t>
      </w:r>
      <w:r w:rsidRPr="008F74C2">
        <w:tab/>
        <w:t>Electric (e.g., e-bus)</w:t>
      </w:r>
    </w:p>
    <w:p w14:paraId="694CCB57" w14:textId="77777777" w:rsidR="00BF6818" w:rsidRPr="008F74C2" w:rsidRDefault="00BF6818" w:rsidP="00BF6818">
      <w:pPr>
        <w:spacing w:after="0"/>
      </w:pPr>
      <w:r w:rsidRPr="008F74C2">
        <w:t xml:space="preserve">EV </w:t>
      </w:r>
      <w:r w:rsidRPr="008F74C2">
        <w:tab/>
        <w:t>Electric vehicle</w:t>
      </w:r>
    </w:p>
    <w:p w14:paraId="4221C2BD" w14:textId="77777777" w:rsidR="00BF6818" w:rsidRPr="008F74C2" w:rsidRDefault="00BF6818" w:rsidP="00BF6818">
      <w:pPr>
        <w:spacing w:after="0"/>
      </w:pPr>
      <w:r w:rsidRPr="008F74C2">
        <w:t>FAESP</w:t>
      </w:r>
      <w:r w:rsidRPr="008F74C2">
        <w:tab/>
        <w:t xml:space="preserve">Framework for Action on Energy Security in the Pacific </w:t>
      </w:r>
    </w:p>
    <w:p w14:paraId="2438A959" w14:textId="77777777" w:rsidR="00BF6818" w:rsidRPr="008F74C2" w:rsidRDefault="00BF6818" w:rsidP="00BF6818">
      <w:pPr>
        <w:spacing w:after="0"/>
      </w:pPr>
      <w:r w:rsidRPr="008F74C2">
        <w:t>FATS</w:t>
      </w:r>
      <w:r w:rsidRPr="008F74C2">
        <w:tab/>
        <w:t>Framework for Action on Transport Services</w:t>
      </w:r>
    </w:p>
    <w:p w14:paraId="2CC58942" w14:textId="77777777" w:rsidR="00BF6818" w:rsidRPr="008F74C2" w:rsidRDefault="00BF6818" w:rsidP="00BF6818">
      <w:pPr>
        <w:spacing w:after="0"/>
      </w:pPr>
      <w:r w:rsidRPr="008F74C2">
        <w:t>FRDP</w:t>
      </w:r>
      <w:r w:rsidRPr="008F74C2">
        <w:tab/>
        <w:t>Framework for Resilient Development in the Pacific</w:t>
      </w:r>
    </w:p>
    <w:p w14:paraId="312F7F38" w14:textId="77777777" w:rsidR="00BF6818" w:rsidRPr="008F74C2" w:rsidRDefault="00BF6818" w:rsidP="00BF6818">
      <w:pPr>
        <w:spacing w:after="0"/>
      </w:pPr>
      <w:r w:rsidRPr="008F74C2">
        <w:t xml:space="preserve">GGGI </w:t>
      </w:r>
      <w:r w:rsidRPr="008F74C2">
        <w:tab/>
        <w:t xml:space="preserve">Global Green Growth Institute </w:t>
      </w:r>
    </w:p>
    <w:p w14:paraId="063063CF" w14:textId="77777777" w:rsidR="00BF6818" w:rsidRPr="008F74C2" w:rsidRDefault="00BF6818" w:rsidP="00BF6818">
      <w:pPr>
        <w:spacing w:after="0"/>
      </w:pPr>
      <w:r w:rsidRPr="008F74C2">
        <w:t xml:space="preserve">GHG </w:t>
      </w:r>
      <w:r w:rsidRPr="008F74C2">
        <w:tab/>
        <w:t xml:space="preserve">Greenhouse gas or greenhouse gases </w:t>
      </w:r>
    </w:p>
    <w:p w14:paraId="0971B539" w14:textId="77777777" w:rsidR="00BF6818" w:rsidRPr="008F74C2" w:rsidRDefault="00BF6818" w:rsidP="00BF6818">
      <w:pPr>
        <w:spacing w:after="0"/>
      </w:pPr>
      <w:r w:rsidRPr="008F74C2">
        <w:t xml:space="preserve">kW </w:t>
      </w:r>
      <w:r w:rsidRPr="008F74C2">
        <w:tab/>
        <w:t>Kilowatt</w:t>
      </w:r>
    </w:p>
    <w:p w14:paraId="6A4207F2" w14:textId="77777777" w:rsidR="00BF6818" w:rsidRPr="008F74C2" w:rsidRDefault="00BF6818" w:rsidP="00BF6818">
      <w:pPr>
        <w:spacing w:after="0"/>
      </w:pPr>
      <w:r w:rsidRPr="008F74C2">
        <w:t xml:space="preserve">kWh </w:t>
      </w:r>
      <w:r w:rsidRPr="008F74C2">
        <w:tab/>
        <w:t xml:space="preserve">Kilowatt-hour </w:t>
      </w:r>
    </w:p>
    <w:p w14:paraId="0237D09E" w14:textId="77777777" w:rsidR="00BF6818" w:rsidRPr="008F74C2" w:rsidRDefault="00BF6818" w:rsidP="00BF6818">
      <w:pPr>
        <w:spacing w:after="0"/>
      </w:pPr>
      <w:r w:rsidRPr="008F74C2">
        <w:t xml:space="preserve">NDC </w:t>
      </w:r>
      <w:r w:rsidRPr="008F74C2">
        <w:tab/>
        <w:t xml:space="preserve">Nationally Determined Contribution </w:t>
      </w:r>
    </w:p>
    <w:p w14:paraId="324B00FC" w14:textId="77777777" w:rsidR="00BF6818" w:rsidRPr="008F74C2" w:rsidRDefault="00BF6818" w:rsidP="00BF6818">
      <w:pPr>
        <w:spacing w:after="0"/>
      </w:pPr>
      <w:r w:rsidRPr="008F74C2">
        <w:t>PCREEE</w:t>
      </w:r>
      <w:r w:rsidRPr="008F74C2">
        <w:tab/>
        <w:t>Pacific Centre for Renewable Energy and Energy Efficiency</w:t>
      </w:r>
    </w:p>
    <w:p w14:paraId="02719740" w14:textId="77777777" w:rsidR="00BF6818" w:rsidRPr="008F74C2" w:rsidRDefault="00BF6818" w:rsidP="00BF6818">
      <w:pPr>
        <w:spacing w:after="0"/>
      </w:pPr>
      <w:r w:rsidRPr="008F74C2">
        <w:t xml:space="preserve">PICT </w:t>
      </w:r>
      <w:r w:rsidRPr="008F74C2">
        <w:tab/>
        <w:t>Pacific Island Countries and Territories</w:t>
      </w:r>
    </w:p>
    <w:p w14:paraId="5AC4123E" w14:textId="77777777" w:rsidR="00BF6818" w:rsidRPr="008F74C2" w:rsidRDefault="00BF6818" w:rsidP="00BF6818">
      <w:pPr>
        <w:spacing w:after="0"/>
      </w:pPr>
      <w:r w:rsidRPr="008F74C2">
        <w:t xml:space="preserve">PV </w:t>
      </w:r>
      <w:r w:rsidRPr="008F74C2">
        <w:tab/>
        <w:t xml:space="preserve">Photovoltaic </w:t>
      </w:r>
    </w:p>
    <w:p w14:paraId="2EFCC3DF" w14:textId="77777777" w:rsidR="00BF6818" w:rsidRPr="008F74C2" w:rsidRDefault="00BF6818" w:rsidP="00BF6818">
      <w:pPr>
        <w:spacing w:after="0"/>
      </w:pPr>
      <w:r w:rsidRPr="008F74C2">
        <w:t xml:space="preserve">RE </w:t>
      </w:r>
      <w:r w:rsidRPr="008F74C2">
        <w:tab/>
        <w:t xml:space="preserve">Renewable Energy </w:t>
      </w:r>
    </w:p>
    <w:p w14:paraId="31F30958" w14:textId="77777777" w:rsidR="00BF6818" w:rsidRPr="008F74C2" w:rsidRDefault="00BF6818" w:rsidP="00BF6818">
      <w:pPr>
        <w:spacing w:after="0"/>
      </w:pPr>
      <w:r w:rsidRPr="008F74C2">
        <w:t>RMI</w:t>
      </w:r>
      <w:r w:rsidRPr="008F74C2">
        <w:tab/>
        <w:t>Republic of the Marshal Islands</w:t>
      </w:r>
    </w:p>
    <w:p w14:paraId="53BA4BCF" w14:textId="5A3942C0" w:rsidR="00BF6818" w:rsidRPr="008F74C2" w:rsidRDefault="00BF6818" w:rsidP="00BF6818">
      <w:pPr>
        <w:spacing w:after="0"/>
      </w:pPr>
      <w:r w:rsidRPr="008F74C2">
        <w:t xml:space="preserve">SPC </w:t>
      </w:r>
      <w:r w:rsidRPr="008F74C2">
        <w:tab/>
        <w:t xml:space="preserve">Pacific Community </w:t>
      </w:r>
    </w:p>
    <w:p w14:paraId="2CFB320C" w14:textId="77777777" w:rsidR="00BF6818" w:rsidRPr="008F74C2" w:rsidRDefault="00BF6818" w:rsidP="00BF6818">
      <w:pPr>
        <w:spacing w:after="0"/>
      </w:pPr>
      <w:r w:rsidRPr="008F74C2">
        <w:t xml:space="preserve">TOR </w:t>
      </w:r>
      <w:r w:rsidRPr="008F74C2">
        <w:tab/>
        <w:t xml:space="preserve">Terms of Reference </w:t>
      </w:r>
    </w:p>
    <w:p w14:paraId="3BBBB4C6" w14:textId="77777777" w:rsidR="00BF6818" w:rsidRPr="008F74C2" w:rsidRDefault="00BF6818" w:rsidP="00BF6818">
      <w:pPr>
        <w:spacing w:after="0"/>
      </w:pPr>
      <w:r w:rsidRPr="008F74C2">
        <w:t>TOU</w:t>
      </w:r>
      <w:r w:rsidRPr="008F74C2">
        <w:tab/>
        <w:t>Time of use (metering)</w:t>
      </w:r>
    </w:p>
    <w:p w14:paraId="2B12F589" w14:textId="77777777" w:rsidR="00BF6818" w:rsidRPr="008F74C2" w:rsidRDefault="00BF6818" w:rsidP="00BF6818">
      <w:pPr>
        <w:spacing w:after="0"/>
      </w:pPr>
      <w:r w:rsidRPr="008F74C2">
        <w:t xml:space="preserve">UNIDO </w:t>
      </w:r>
      <w:r w:rsidRPr="008F74C2">
        <w:tab/>
        <w:t>United Nation Industrial Development Organization</w:t>
      </w:r>
    </w:p>
    <w:p w14:paraId="116247F0" w14:textId="77777777" w:rsidR="00BF6818" w:rsidRPr="008F74C2" w:rsidRDefault="00BF6818" w:rsidP="00BF6818">
      <w:pPr>
        <w:spacing w:after="0"/>
      </w:pPr>
      <w:r w:rsidRPr="008F74C2">
        <w:t xml:space="preserve">UNDP </w:t>
      </w:r>
      <w:r w:rsidRPr="008F74C2">
        <w:tab/>
        <w:t xml:space="preserve">United Nations Development Programme </w:t>
      </w:r>
    </w:p>
    <w:p w14:paraId="026E7A63" w14:textId="77777777" w:rsidR="00BF6818" w:rsidRPr="008F74C2" w:rsidRDefault="00BF6818" w:rsidP="00BF6818">
      <w:pPr>
        <w:spacing w:after="0"/>
      </w:pPr>
      <w:r w:rsidRPr="008F74C2">
        <w:t>V2H</w:t>
      </w:r>
      <w:r w:rsidRPr="008F74C2">
        <w:tab/>
        <w:t>Vehicle-to-home</w:t>
      </w:r>
    </w:p>
    <w:p w14:paraId="6359E448" w14:textId="77777777" w:rsidR="00BF6818" w:rsidRPr="008F74C2" w:rsidRDefault="00BF6818" w:rsidP="00BF6818">
      <w:pPr>
        <w:spacing w:after="0"/>
      </w:pPr>
      <w:r w:rsidRPr="008F74C2">
        <w:t>V2G</w:t>
      </w:r>
      <w:r w:rsidRPr="008F74C2">
        <w:tab/>
        <w:t>Vehicle-to-grid</w:t>
      </w:r>
    </w:p>
    <w:p w14:paraId="2C74ED4A" w14:textId="61C2B131" w:rsidR="00243D50" w:rsidRDefault="00243D50" w:rsidP="00243D50">
      <w:pP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05F3D9" w14:textId="77777777" w:rsidR="00243D50" w:rsidRDefault="00243D50" w:rsidP="00243D50">
      <w:pPr>
        <w:jc w:val="center"/>
        <w:rPr>
          <w:rFonts w:asciiTheme="majorHAnsi" w:hAnsiTheme="majorHAnsi" w:cstheme="majorHAnsi"/>
          <w:b/>
          <w:bCs/>
        </w:rPr>
      </w:pPr>
    </w:p>
    <w:p w14:paraId="162F4C10" w14:textId="77777777" w:rsidR="00243D50" w:rsidRDefault="00243D50" w:rsidP="00243D50">
      <w:pPr>
        <w:jc w:val="center"/>
        <w:rPr>
          <w:rFonts w:asciiTheme="majorHAnsi" w:hAnsiTheme="majorHAnsi" w:cstheme="majorHAnsi"/>
          <w:b/>
          <w:bCs/>
        </w:rPr>
      </w:pPr>
    </w:p>
    <w:p w14:paraId="367D5595" w14:textId="77777777" w:rsidR="00243D50" w:rsidRDefault="00243D50" w:rsidP="00243D50">
      <w:pPr>
        <w:jc w:val="center"/>
        <w:rPr>
          <w:rFonts w:asciiTheme="majorHAnsi" w:hAnsiTheme="majorHAnsi" w:cstheme="majorHAnsi"/>
          <w:b/>
          <w:bCs/>
        </w:rPr>
      </w:pPr>
    </w:p>
    <w:p w14:paraId="1CBFF3D8" w14:textId="2F85AE52" w:rsidR="00243D50" w:rsidRPr="00FE72DF" w:rsidRDefault="00243D50" w:rsidP="00243D50">
      <w:pPr>
        <w:jc w:val="center"/>
        <w:rPr>
          <w:rFonts w:asciiTheme="majorHAnsi" w:hAnsiTheme="majorHAnsi" w:cstheme="majorHAnsi"/>
          <w:b/>
          <w:bCs/>
        </w:rPr>
      </w:pPr>
      <w:r w:rsidRPr="00FE72DF">
        <w:rPr>
          <w:rFonts w:asciiTheme="majorHAnsi" w:hAnsiTheme="majorHAnsi" w:cstheme="majorHAnsi"/>
          <w:b/>
          <w:bCs/>
        </w:rPr>
        <w:t>Acknowledgements</w:t>
      </w:r>
    </w:p>
    <w:p w14:paraId="0AFA75A5" w14:textId="77777777" w:rsidR="00243D50" w:rsidRDefault="00243D50" w:rsidP="00243D50">
      <w:pPr>
        <w:rPr>
          <w:rFonts w:asciiTheme="majorHAnsi" w:eastAsiaTheme="majorEastAsia" w:hAnsiTheme="majorHAnsi"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56CA">
        <w:rPr>
          <w:rFonts w:ascii="Calibri" w:hAnsi="Calibri" w:cs="Calibri"/>
        </w:rPr>
        <w:t>Sincere thanks to those who provided input</w:t>
      </w:r>
      <w:r>
        <w:rPr>
          <w:rFonts w:ascii="Calibri" w:hAnsi="Calibri" w:cs="Calibri"/>
        </w:rPr>
        <w:t xml:space="preserve"> to this report</w:t>
      </w:r>
      <w:r w:rsidRPr="007456CA">
        <w:rPr>
          <w:rFonts w:ascii="Calibri" w:hAnsi="Calibri" w:cs="Calibri"/>
        </w:rPr>
        <w:t>, including staff at the United Nation Industrial Deve</w:t>
      </w:r>
      <w:r w:rsidRPr="009747FC">
        <w:rPr>
          <w:rFonts w:ascii="Calibri" w:hAnsi="Calibri" w:cs="Calibri"/>
        </w:rPr>
        <w:t xml:space="preserve">lopment Organization (UNIDO) and the Pacific Community (SPC). A special thanks to Peter Johnson (Environmental &amp; Energy Consultants Ltd) for his valuable inputs and review of the </w:t>
      </w:r>
      <w:r w:rsidRPr="0071676F">
        <w:rPr>
          <w:rFonts w:ascii="Calibri" w:hAnsi="Calibri" w:cs="Calibri"/>
        </w:rPr>
        <w:t>reports.</w:t>
      </w:r>
      <w:r>
        <w:rPr>
          <w:rFonts w:cstheme="minorHAnsi"/>
          <w:b/>
          <w:bCs/>
          <w:color w:val="002060"/>
          <w:sz w:val="24"/>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651253AF" w14:textId="77777777" w:rsidR="0071406F" w:rsidRDefault="00D55981" w:rsidP="0040299A">
      <w:pPr>
        <w:pStyle w:val="Heading1"/>
        <w:rPr>
          <w:rFonts w:asciiTheme="minorHAnsi" w:hAnsiTheme="minorHAnsi" w:cstheme="minorHAnsi"/>
          <w:b/>
          <w:color w:val="1F3864" w:themeColor="accent1" w:themeShade="80"/>
          <w:sz w:val="24"/>
        </w:rPr>
      </w:pPr>
      <w:bookmarkStart w:id="1" w:name="_Toc36737310"/>
      <w:bookmarkStart w:id="2" w:name="_Toc36737311"/>
      <w:bookmarkStart w:id="3" w:name="_Toc36737312"/>
      <w:bookmarkStart w:id="4" w:name="_Toc36737313"/>
      <w:bookmarkStart w:id="5" w:name="_Toc36737314"/>
      <w:bookmarkStart w:id="6" w:name="_Toc36737315"/>
      <w:bookmarkStart w:id="7" w:name="_Toc36737316"/>
      <w:bookmarkStart w:id="8" w:name="_Toc38034037"/>
      <w:bookmarkEnd w:id="1"/>
      <w:bookmarkEnd w:id="2"/>
      <w:bookmarkEnd w:id="3"/>
      <w:bookmarkEnd w:id="4"/>
      <w:bookmarkEnd w:id="5"/>
      <w:bookmarkEnd w:id="6"/>
      <w:bookmarkEnd w:id="7"/>
      <w:r w:rsidRPr="000C13D7">
        <w:rPr>
          <w:rFonts w:asciiTheme="minorHAnsi" w:hAnsiTheme="minorHAnsi" w:cstheme="minorHAnsi"/>
          <w:b/>
          <w:color w:val="1F3864" w:themeColor="accent1" w:themeShade="80"/>
          <w:sz w:val="24"/>
        </w:rPr>
        <w:lastRenderedPageBreak/>
        <w:t>Introduction</w:t>
      </w:r>
      <w:bookmarkEnd w:id="8"/>
      <w:r w:rsidRPr="000C13D7">
        <w:rPr>
          <w:rFonts w:asciiTheme="minorHAnsi" w:hAnsiTheme="minorHAnsi" w:cstheme="minorHAnsi"/>
          <w:b/>
          <w:color w:val="1F3864" w:themeColor="accent1" w:themeShade="80"/>
          <w:sz w:val="24"/>
        </w:rPr>
        <w:t xml:space="preserve"> </w:t>
      </w:r>
    </w:p>
    <w:p w14:paraId="0B215B16" w14:textId="77777777" w:rsidR="0038098D" w:rsidRPr="00181092" w:rsidRDefault="0038098D" w:rsidP="00181092">
      <w:pPr>
        <w:spacing w:after="0" w:line="240" w:lineRule="auto"/>
        <w:rPr>
          <w:bCs/>
          <w:sz w:val="8"/>
          <w:szCs w:val="8"/>
        </w:rPr>
      </w:pPr>
    </w:p>
    <w:p w14:paraId="19B00DCC" w14:textId="7236DEFD" w:rsidR="0057781A" w:rsidRPr="00B75D55" w:rsidRDefault="0057781A" w:rsidP="00181092">
      <w:pPr>
        <w:pStyle w:val="Heading2"/>
        <w:spacing w:after="120" w:line="216" w:lineRule="auto"/>
        <w:ind w:left="426" w:hanging="426"/>
        <w:rPr>
          <w:rFonts w:asciiTheme="minorHAnsi" w:hAnsiTheme="minorHAnsi" w:cstheme="minorHAnsi"/>
          <w:b/>
          <w:color w:val="1F3864" w:themeColor="accent1" w:themeShade="80"/>
          <w:sz w:val="22"/>
          <w:szCs w:val="32"/>
        </w:rPr>
      </w:pPr>
      <w:bookmarkStart w:id="9" w:name="_Toc38034038"/>
      <w:r>
        <w:rPr>
          <w:rFonts w:asciiTheme="minorHAnsi" w:hAnsiTheme="minorHAnsi" w:cstheme="minorHAnsi"/>
          <w:b/>
          <w:color w:val="1F3864" w:themeColor="accent1" w:themeShade="80"/>
          <w:sz w:val="22"/>
          <w:szCs w:val="32"/>
        </w:rPr>
        <w:t>PICTs and global EV deployment</w:t>
      </w:r>
      <w:bookmarkEnd w:id="9"/>
    </w:p>
    <w:p w14:paraId="120E046F" w14:textId="4551C57B" w:rsidR="00DA515C" w:rsidRPr="00D65FC4" w:rsidRDefault="00DA515C" w:rsidP="00181092">
      <w:pPr>
        <w:spacing w:line="216" w:lineRule="auto"/>
        <w:rPr>
          <w:rFonts w:cstheme="minorHAnsi"/>
          <w:bCs/>
        </w:rPr>
      </w:pPr>
      <w:r w:rsidRPr="00D65FC4">
        <w:rPr>
          <w:rFonts w:cstheme="minorHAnsi"/>
          <w:bCs/>
        </w:rPr>
        <w:t xml:space="preserve">Advances in electric vehicle (EV) technology have seen all forms of electric vehicles become noticeable in the transport systems of many countries. For some countries, electric passenger cars are normal and the uptake of new e-mobility forms such as </w:t>
      </w:r>
      <w:proofErr w:type="gramStart"/>
      <w:r w:rsidRPr="00D65FC4">
        <w:rPr>
          <w:rFonts w:cstheme="minorHAnsi"/>
          <w:bCs/>
        </w:rPr>
        <w:t>electric</w:t>
      </w:r>
      <w:r w:rsidR="00EF3205">
        <w:rPr>
          <w:rFonts w:cstheme="minorHAnsi"/>
          <w:bCs/>
        </w:rPr>
        <w:t>ally-assisted</w:t>
      </w:r>
      <w:proofErr w:type="gramEnd"/>
      <w:r w:rsidR="00EF3205">
        <w:rPr>
          <w:rFonts w:cstheme="minorHAnsi"/>
          <w:bCs/>
        </w:rPr>
        <w:t xml:space="preserve"> </w:t>
      </w:r>
      <w:r w:rsidRPr="00D65FC4">
        <w:rPr>
          <w:rFonts w:cstheme="minorHAnsi"/>
          <w:bCs/>
        </w:rPr>
        <w:t>push-scooters and bicycles is occurring at an accelerating rate. Electric buses in China are now normal. And the global market is starting to see the beginning of the electrification of heavy trucks and marine vessels. Further advances in technology are expected, particularly with respect to batteries, and these (and the associated reductions in cost) stand to accelerate the uptake of e-mobility, in its various forms, still further.</w:t>
      </w:r>
    </w:p>
    <w:p w14:paraId="7E3AD458" w14:textId="6D11E44F" w:rsidR="00B051A7" w:rsidRPr="00181092" w:rsidRDefault="00DA515C" w:rsidP="00181092">
      <w:pPr>
        <w:spacing w:after="0" w:line="216" w:lineRule="auto"/>
        <w:rPr>
          <w:rFonts w:cstheme="minorHAnsi"/>
          <w:lang w:val="en-GB"/>
        </w:rPr>
      </w:pPr>
      <w:r w:rsidRPr="00D65FC4">
        <w:rPr>
          <w:rFonts w:cstheme="minorHAnsi"/>
          <w:bCs/>
        </w:rPr>
        <w:t xml:space="preserve">The availability of this technology presents new opportunities for Pacific Island Countries and Territories (PICTs) on many fronts: the use of EVs can reduce net greenhouse emissions even when the vehicles are charged from grids where most of the electricity is supplied by petroleum-derived generation (which in turn will help meet Nationally Determined Contributions); some of the new e-mobility options could provide some people with more mobility, with beneficial social and other effects; and far from being an extra burden upon electricity supply arrangements, EV batteries may even be used to compliment the supply of electricity, particularly where generation is intermittent (as is the case for wind and solar). </w:t>
      </w:r>
    </w:p>
    <w:p w14:paraId="31F11FF1" w14:textId="77777777" w:rsidR="0057781A" w:rsidRDefault="0057781A" w:rsidP="00D65FC4">
      <w:pPr>
        <w:spacing w:after="0" w:line="240" w:lineRule="auto"/>
        <w:rPr>
          <w:rFonts w:cstheme="minorHAnsi"/>
        </w:rPr>
      </w:pPr>
    </w:p>
    <w:p w14:paraId="0A6330A7" w14:textId="3D73E928" w:rsidR="0057781A" w:rsidRPr="00B75D55" w:rsidRDefault="0057781A" w:rsidP="00181092">
      <w:pPr>
        <w:pStyle w:val="Heading2"/>
        <w:ind w:left="426" w:hanging="426"/>
        <w:rPr>
          <w:rFonts w:asciiTheme="minorHAnsi" w:hAnsiTheme="minorHAnsi" w:cstheme="minorHAnsi"/>
          <w:b/>
          <w:color w:val="1F3864" w:themeColor="accent1" w:themeShade="80"/>
          <w:sz w:val="22"/>
          <w:szCs w:val="32"/>
        </w:rPr>
      </w:pPr>
      <w:bookmarkStart w:id="10" w:name="_Toc38034039"/>
      <w:r>
        <w:rPr>
          <w:rFonts w:asciiTheme="minorHAnsi" w:hAnsiTheme="minorHAnsi" w:cstheme="minorHAnsi"/>
          <w:b/>
          <w:color w:val="1F3864" w:themeColor="accent1" w:themeShade="80"/>
          <w:sz w:val="22"/>
          <w:szCs w:val="32"/>
        </w:rPr>
        <w:t>Regional Policy Response for National Acceleration</w:t>
      </w:r>
      <w:bookmarkEnd w:id="10"/>
    </w:p>
    <w:p w14:paraId="092D4BF2" w14:textId="465E96FF" w:rsidR="005C1F2B" w:rsidRDefault="0057781A" w:rsidP="00181092">
      <w:pPr>
        <w:spacing w:before="120" w:after="0" w:line="216" w:lineRule="auto"/>
        <w:rPr>
          <w:rFonts w:cstheme="minorHAnsi"/>
        </w:rPr>
      </w:pPr>
      <w:r w:rsidRPr="00696353">
        <w:rPr>
          <w:rFonts w:cstheme="minorHAnsi"/>
          <w:lang w:val="en-GB"/>
        </w:rPr>
        <w:t xml:space="preserve">To better harness the EV opportunities for the region, the </w:t>
      </w:r>
      <w:r w:rsidRPr="00696353">
        <w:rPr>
          <w:rFonts w:cstheme="minorHAnsi"/>
        </w:rPr>
        <w:t>Fourth Pacific Regional Energy and Transport Ministers’ Meeting, held from 18 to 20 September 2019, in Apia, Samoa, requested the Pacific Centre for Renewable Energy and Energy Efficiency (PCREEE)</w:t>
      </w:r>
      <w:r w:rsidRPr="00696353">
        <w:rPr>
          <w:rStyle w:val="FootnoteReference"/>
          <w:rFonts w:cstheme="minorHAnsi"/>
        </w:rPr>
        <w:footnoteReference w:id="1"/>
      </w:r>
      <w:r w:rsidRPr="00696353">
        <w:rPr>
          <w:rFonts w:cstheme="minorHAnsi"/>
        </w:rPr>
        <w:t xml:space="preserve"> and the United Nations Industrial Development Organization (UNIDO) to assist Pacific Island Countries and Territories (PICT) in the development of </w:t>
      </w:r>
      <w:r w:rsidR="00356F4F">
        <w:rPr>
          <w:rFonts w:cstheme="minorHAnsi"/>
        </w:rPr>
        <w:t xml:space="preserve">a </w:t>
      </w:r>
      <w:r w:rsidRPr="00696353">
        <w:rPr>
          <w:rFonts w:cstheme="minorHAnsi"/>
        </w:rPr>
        <w:t xml:space="preserve">regional electric mobility (e-mobility) policy </w:t>
      </w:r>
      <w:r w:rsidR="00EF3205">
        <w:rPr>
          <w:rFonts w:cstheme="minorHAnsi"/>
        </w:rPr>
        <w:t xml:space="preserve">document </w:t>
      </w:r>
      <w:r w:rsidRPr="00696353">
        <w:rPr>
          <w:rFonts w:cstheme="minorHAnsi"/>
        </w:rPr>
        <w:t xml:space="preserve">and </w:t>
      </w:r>
      <w:r w:rsidR="00EF3205">
        <w:rPr>
          <w:rFonts w:cstheme="minorHAnsi"/>
        </w:rPr>
        <w:t xml:space="preserve">a regional e-mobility </w:t>
      </w:r>
      <w:r w:rsidRPr="00696353">
        <w:rPr>
          <w:rFonts w:cstheme="minorHAnsi"/>
        </w:rPr>
        <w:t>program</w:t>
      </w:r>
      <w:r w:rsidR="00CC5031">
        <w:rPr>
          <w:rStyle w:val="FootnoteReference"/>
          <w:rFonts w:cstheme="minorHAnsi"/>
        </w:rPr>
        <w:footnoteReference w:id="2"/>
      </w:r>
      <w:r w:rsidRPr="00696353">
        <w:rPr>
          <w:rFonts w:cstheme="minorHAnsi"/>
        </w:rPr>
        <w:t xml:space="preserve">. </w:t>
      </w:r>
    </w:p>
    <w:p w14:paraId="3366C532" w14:textId="11D300FF" w:rsidR="0057781A" w:rsidRPr="0057781A" w:rsidRDefault="0057781A" w:rsidP="00194394">
      <w:pPr>
        <w:spacing w:before="120" w:line="216" w:lineRule="auto"/>
        <w:rPr>
          <w:rFonts w:cstheme="minorHAnsi"/>
        </w:rPr>
      </w:pPr>
      <w:r>
        <w:rPr>
          <w:lang w:val="en-US"/>
        </w:rPr>
        <w:t>A harmonized regional approach can help to address some of the existing barriers more effectively and at lower cost. It can promote equal progress and standards between PICTs and create the needed economies of scale to influence international vehicle supply chains and investments in charging infrastructure and e-mobility</w:t>
      </w:r>
      <w:r w:rsidR="00EF3205">
        <w:rPr>
          <w:lang w:val="en-US"/>
        </w:rPr>
        <w:t>-</w:t>
      </w:r>
      <w:r>
        <w:rPr>
          <w:lang w:val="en-US"/>
        </w:rPr>
        <w:t>based business models.</w:t>
      </w:r>
      <w:r>
        <w:rPr>
          <w:rStyle w:val="FootnoteReference"/>
          <w:lang w:val="en-US"/>
        </w:rPr>
        <w:footnoteReference w:id="3"/>
      </w:r>
      <w:r>
        <w:rPr>
          <w:lang w:val="en-US"/>
        </w:rPr>
        <w:t xml:space="preserve"> Regional actions can complement and accelerate national efforts in line with the principle of subsidiarity. </w:t>
      </w:r>
    </w:p>
    <w:p w14:paraId="2F8DA6E2" w14:textId="19CE64E6" w:rsidR="0057781A" w:rsidRDefault="00EF3205">
      <w:pPr>
        <w:spacing w:line="216" w:lineRule="auto"/>
        <w:rPr>
          <w:rFonts w:cstheme="minorHAnsi"/>
        </w:rPr>
      </w:pPr>
      <w:r>
        <w:rPr>
          <w:rFonts w:ascii="Calibri" w:hAnsi="Calibri" w:cs="Calibri"/>
        </w:rPr>
        <w:t xml:space="preserve">When deployed, the </w:t>
      </w:r>
      <w:r w:rsidR="00D65FC4" w:rsidRPr="00181092">
        <w:rPr>
          <w:rFonts w:cstheme="minorHAnsi"/>
        </w:rPr>
        <w:t xml:space="preserve">EV efforts </w:t>
      </w:r>
      <w:r>
        <w:rPr>
          <w:rFonts w:cstheme="minorHAnsi"/>
        </w:rPr>
        <w:t xml:space="preserve">would </w:t>
      </w:r>
      <w:r w:rsidR="00D65FC4" w:rsidRPr="00181092">
        <w:rPr>
          <w:rFonts w:cstheme="minorHAnsi"/>
        </w:rPr>
        <w:t xml:space="preserve">contribute to the 100% renewable energy vision of the region and extend the “climate leadership” of PICTs also to the transport sector. They address the nexus between regional policies, namely the </w:t>
      </w:r>
      <w:r w:rsidR="00D65FC4" w:rsidRPr="00181092">
        <w:rPr>
          <w:rFonts w:cstheme="minorHAnsi"/>
          <w:lang w:val="en-AU"/>
        </w:rPr>
        <w:t>2020-2030 Framework for Action on Energy Security in the Pacific (FAESP)</w:t>
      </w:r>
      <w:r w:rsidR="00D65FC4" w:rsidRPr="00181092">
        <w:rPr>
          <w:rFonts w:cstheme="minorHAnsi"/>
        </w:rPr>
        <w:t xml:space="preserve">, the Framework of Action on Transport Services (FATS) and Framework for Resilient Development in the Pacific (FRDP). </w:t>
      </w:r>
    </w:p>
    <w:p w14:paraId="3A22A0CE" w14:textId="77777777" w:rsidR="00AE1984" w:rsidRDefault="00AE1984" w:rsidP="00AE1984">
      <w:pPr>
        <w:spacing w:before="120" w:after="0" w:line="216" w:lineRule="auto"/>
        <w:rPr>
          <w:rFonts w:ascii="Calibri" w:hAnsi="Calibri" w:cs="Calibri"/>
        </w:rPr>
      </w:pPr>
      <w:r>
        <w:rPr>
          <w:rFonts w:cstheme="minorHAnsi"/>
        </w:rPr>
        <w:t xml:space="preserve">The Ministers also called for SIDS-SIDS cooperation on EV issues and solution under the umbrella of the Global Network of Regional Sustainable Energy Centres (GN-SEC) and SIDS DOCK. The </w:t>
      </w:r>
      <w:r>
        <w:rPr>
          <w:rFonts w:ascii="Calibri" w:hAnsi="Calibri" w:cs="Calibri"/>
        </w:rPr>
        <w:t xml:space="preserve">Caribbean Centre for Renewable Energy and Energy Efficiency (CCREEE) is currently establishing a similar strategic EV framework for the Caribbean Community (CARICOM). </w:t>
      </w:r>
    </w:p>
    <w:p w14:paraId="76D294A6" w14:textId="352CD43A" w:rsidR="0054193B" w:rsidRPr="00D65FC4" w:rsidRDefault="00AE1984" w:rsidP="00181092">
      <w:pPr>
        <w:spacing w:line="216" w:lineRule="auto"/>
        <w:rPr>
          <w:rFonts w:cstheme="minorHAnsi"/>
          <w:bCs/>
        </w:rPr>
      </w:pPr>
      <w:r>
        <w:rPr>
          <w:noProof/>
          <w:lang w:val="pt-BR" w:eastAsia="pt-BR"/>
        </w:rPr>
        <w:lastRenderedPageBreak/>
        <w:drawing>
          <wp:anchor distT="0" distB="0" distL="114300" distR="114300" simplePos="0" relativeHeight="251684864" behindDoc="1" locked="0" layoutInCell="1" allowOverlap="1" wp14:anchorId="74A06E6C" wp14:editId="7320EB67">
            <wp:simplePos x="0" y="0"/>
            <wp:positionH relativeFrom="margin">
              <wp:posOffset>376555</wp:posOffset>
            </wp:positionH>
            <wp:positionV relativeFrom="paragraph">
              <wp:posOffset>1193165</wp:posOffset>
            </wp:positionV>
            <wp:extent cx="4839335" cy="2395023"/>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742" t="37818" r="35686" b="33524"/>
                    <a:stretch/>
                  </pic:blipFill>
                  <pic:spPr bwMode="auto">
                    <a:xfrm>
                      <a:off x="0" y="0"/>
                      <a:ext cx="4839335" cy="2395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FC4" w:rsidRPr="00181092">
        <w:rPr>
          <w:rFonts w:cstheme="minorHAnsi"/>
        </w:rPr>
        <w:t xml:space="preserve">With the </w:t>
      </w:r>
      <w:r w:rsidR="00EF3205">
        <w:rPr>
          <w:rFonts w:cstheme="minorHAnsi"/>
        </w:rPr>
        <w:t xml:space="preserve">deployment of the </w:t>
      </w:r>
      <w:r w:rsidR="00D65FC4" w:rsidRPr="00181092">
        <w:rPr>
          <w:rFonts w:cstheme="minorHAnsi"/>
        </w:rPr>
        <w:t xml:space="preserve">EV policy and program, PICTs will also contribute to </w:t>
      </w:r>
      <w:r w:rsidR="00D65FC4" w:rsidRPr="00D65FC4">
        <w:rPr>
          <w:rFonts w:cstheme="minorHAnsi"/>
        </w:rPr>
        <w:t xml:space="preserve">global EV initiatives operating under the Paris Declaration on Electric Mobility and Climate Change. For example, the Clean Energy </w:t>
      </w:r>
      <w:proofErr w:type="spellStart"/>
      <w:r w:rsidR="0051720E" w:rsidRPr="00D65FC4">
        <w:rPr>
          <w:rFonts w:cstheme="minorHAnsi"/>
        </w:rPr>
        <w:t>Ministerial’s</w:t>
      </w:r>
      <w:proofErr w:type="spellEnd"/>
      <w:r w:rsidR="00D65FC4" w:rsidRPr="00D65FC4">
        <w:rPr>
          <w:rFonts w:cstheme="minorHAnsi"/>
        </w:rPr>
        <w:t xml:space="preserve"> Electric Vehicles Initiative (EVI) supported by Canada, China, Finland, France, India, Japan, Mexico, Netherlands, Norway and Sweden aims to reach a 30% sales share for EVs by 2030. Th</w:t>
      </w:r>
      <w:r w:rsidR="00300EE1">
        <w:rPr>
          <w:rFonts w:cstheme="minorHAnsi"/>
        </w:rPr>
        <w:t>is</w:t>
      </w:r>
      <w:r w:rsidR="00D65FC4" w:rsidRPr="00D65FC4">
        <w:rPr>
          <w:rFonts w:cstheme="minorHAnsi"/>
        </w:rPr>
        <w:t xml:space="preserve"> EV30@30 campaign sets ambitious targets for electric vehicle (EV) sales that, combined with decarbonisation of the power sector, will keep the world on track to meet our shared climate goals. </w:t>
      </w:r>
    </w:p>
    <w:p w14:paraId="35477021" w14:textId="30D5A0C0" w:rsidR="00AE1984" w:rsidRPr="00F67140" w:rsidRDefault="00AE1984" w:rsidP="00AE1984">
      <w:pPr>
        <w:spacing w:after="120" w:line="216" w:lineRule="auto"/>
        <w:jc w:val="center"/>
        <w:rPr>
          <w:b/>
          <w:bCs/>
          <w:sz w:val="20"/>
          <w:szCs w:val="20"/>
        </w:rPr>
      </w:pPr>
      <w:bookmarkStart w:id="13" w:name="_Toc36737320"/>
      <w:bookmarkStart w:id="14" w:name="_Toc36737321"/>
      <w:bookmarkStart w:id="15" w:name="_Toc38034040"/>
      <w:bookmarkEnd w:id="13"/>
      <w:bookmarkEnd w:id="14"/>
      <w:r w:rsidRPr="00995C46">
        <w:rPr>
          <w:b/>
          <w:sz w:val="20"/>
          <w:szCs w:val="20"/>
        </w:rPr>
        <w:t xml:space="preserve">Figure </w:t>
      </w:r>
      <w:r w:rsidRPr="00995C46">
        <w:rPr>
          <w:b/>
          <w:sz w:val="20"/>
          <w:szCs w:val="20"/>
        </w:rPr>
        <w:fldChar w:fldCharType="begin"/>
      </w:r>
      <w:r w:rsidRPr="00995C46">
        <w:rPr>
          <w:b/>
          <w:sz w:val="20"/>
          <w:szCs w:val="20"/>
        </w:rPr>
        <w:instrText xml:space="preserve"> SEQ Figure \* ARABIC </w:instrText>
      </w:r>
      <w:r w:rsidRPr="00995C46">
        <w:rPr>
          <w:b/>
          <w:sz w:val="20"/>
          <w:szCs w:val="20"/>
        </w:rPr>
        <w:fldChar w:fldCharType="separate"/>
      </w:r>
      <w:r w:rsidRPr="00995C46">
        <w:rPr>
          <w:b/>
          <w:noProof/>
          <w:sz w:val="20"/>
          <w:szCs w:val="20"/>
        </w:rPr>
        <w:t>1</w:t>
      </w:r>
      <w:r w:rsidRPr="00995C46">
        <w:rPr>
          <w:b/>
          <w:sz w:val="20"/>
          <w:szCs w:val="20"/>
        </w:rPr>
        <w:fldChar w:fldCharType="end"/>
      </w:r>
      <w:r w:rsidRPr="00995C46">
        <w:rPr>
          <w:b/>
          <w:sz w:val="20"/>
          <w:szCs w:val="20"/>
        </w:rPr>
        <w:t xml:space="preserve">: </w:t>
      </w:r>
      <w:r w:rsidRPr="00052BBB">
        <w:rPr>
          <w:b/>
          <w:bCs/>
          <w:sz w:val="20"/>
          <w:szCs w:val="20"/>
        </w:rPr>
        <w:t xml:space="preserve">Regional </w:t>
      </w:r>
      <w:r w:rsidR="00381ACB">
        <w:rPr>
          <w:b/>
          <w:bCs/>
          <w:sz w:val="20"/>
          <w:szCs w:val="20"/>
        </w:rPr>
        <w:t>C</w:t>
      </w:r>
      <w:r w:rsidRPr="00052BBB">
        <w:rPr>
          <w:b/>
          <w:bCs/>
          <w:sz w:val="20"/>
          <w:szCs w:val="20"/>
        </w:rPr>
        <w:t xml:space="preserve">ooperation as </w:t>
      </w:r>
      <w:r w:rsidR="00381ACB">
        <w:rPr>
          <w:b/>
          <w:bCs/>
          <w:sz w:val="20"/>
          <w:szCs w:val="20"/>
        </w:rPr>
        <w:t>an A</w:t>
      </w:r>
      <w:r w:rsidRPr="00052BBB">
        <w:rPr>
          <w:b/>
          <w:bCs/>
          <w:sz w:val="20"/>
          <w:szCs w:val="20"/>
        </w:rPr>
        <w:t xml:space="preserve">ccelerator for the EV </w:t>
      </w:r>
      <w:r w:rsidR="00381ACB">
        <w:rPr>
          <w:b/>
          <w:bCs/>
          <w:sz w:val="20"/>
          <w:szCs w:val="20"/>
        </w:rPr>
        <w:t>M</w:t>
      </w:r>
      <w:r w:rsidRPr="00052BBB">
        <w:rPr>
          <w:b/>
          <w:bCs/>
          <w:sz w:val="20"/>
          <w:szCs w:val="20"/>
        </w:rPr>
        <w:t xml:space="preserve">arket </w:t>
      </w:r>
      <w:r w:rsidR="00381ACB">
        <w:rPr>
          <w:b/>
          <w:bCs/>
          <w:sz w:val="20"/>
          <w:szCs w:val="20"/>
        </w:rPr>
        <w:t>U</w:t>
      </w:r>
      <w:r w:rsidRPr="00052BBB">
        <w:rPr>
          <w:b/>
          <w:bCs/>
          <w:sz w:val="20"/>
          <w:szCs w:val="20"/>
        </w:rPr>
        <w:t>ptake in PICTs (GN-SEC/UNIDO)</w:t>
      </w:r>
      <w:r w:rsidR="00381ACB">
        <w:rPr>
          <w:b/>
          <w:bCs/>
          <w:sz w:val="20"/>
          <w:szCs w:val="20"/>
        </w:rPr>
        <w:t>.</w:t>
      </w:r>
    </w:p>
    <w:p w14:paraId="26B27BD7" w14:textId="787D871D" w:rsidR="00D55981" w:rsidRPr="000C13D7" w:rsidRDefault="0054193B">
      <w:pPr>
        <w:pStyle w:val="Heading1"/>
        <w:rPr>
          <w:rFonts w:asciiTheme="minorHAnsi" w:hAnsiTheme="minorHAnsi" w:cstheme="minorHAnsi"/>
          <w:b/>
          <w:color w:val="1F3864" w:themeColor="accent1" w:themeShade="80"/>
          <w:sz w:val="24"/>
        </w:rPr>
      </w:pPr>
      <w:r>
        <w:rPr>
          <w:rFonts w:asciiTheme="minorHAnsi" w:hAnsiTheme="minorHAnsi" w:cstheme="minorHAnsi"/>
          <w:b/>
          <w:color w:val="1F3864" w:themeColor="accent1" w:themeShade="80"/>
          <w:sz w:val="24"/>
        </w:rPr>
        <w:t>Addressing the Ministers Requests</w:t>
      </w:r>
      <w:bookmarkEnd w:id="15"/>
      <w:r>
        <w:rPr>
          <w:rFonts w:asciiTheme="minorHAnsi" w:hAnsiTheme="minorHAnsi" w:cstheme="minorHAnsi"/>
          <w:b/>
          <w:color w:val="1F3864" w:themeColor="accent1" w:themeShade="80"/>
          <w:sz w:val="24"/>
        </w:rPr>
        <w:t xml:space="preserve"> </w:t>
      </w:r>
    </w:p>
    <w:p w14:paraId="2845AB24" w14:textId="00632A21" w:rsidR="0057781A" w:rsidRPr="00181092" w:rsidRDefault="0057781A" w:rsidP="0057781A">
      <w:pPr>
        <w:spacing w:after="0" w:line="216" w:lineRule="auto"/>
        <w:rPr>
          <w:sz w:val="10"/>
          <w:szCs w:val="10"/>
        </w:rPr>
      </w:pPr>
    </w:p>
    <w:p w14:paraId="45124FB1" w14:textId="10D9C3A1" w:rsidR="0054193B" w:rsidRDefault="0057781A" w:rsidP="00194394">
      <w:pPr>
        <w:spacing w:after="120" w:line="216" w:lineRule="auto"/>
        <w:rPr>
          <w:rFonts w:ascii="Calibri" w:hAnsi="Calibri" w:cs="Calibri"/>
          <w:lang w:val="en-AU"/>
        </w:rPr>
      </w:pPr>
      <w:r w:rsidRPr="009F5BEB">
        <w:t xml:space="preserve">The following draft </w:t>
      </w:r>
      <w:r>
        <w:t xml:space="preserve">policy </w:t>
      </w:r>
      <w:r w:rsidRPr="009F5BEB">
        <w:t xml:space="preserve">document </w:t>
      </w:r>
      <w:r w:rsidR="00300EE1">
        <w:t xml:space="preserve">follows on from the </w:t>
      </w:r>
      <w:r w:rsidRPr="009F5BEB">
        <w:t xml:space="preserve">Technical Report </w:t>
      </w:r>
      <w:r w:rsidRPr="00696353">
        <w:rPr>
          <w:i/>
        </w:rPr>
        <w:t>“Options for Integrated Electric Mobility and Renewable Power Markets in the Pacific Island Countries and Territories (PICT</w:t>
      </w:r>
      <w:r w:rsidRPr="009F5BEB">
        <w:rPr>
          <w:i/>
        </w:rPr>
        <w:t>s</w:t>
      </w:r>
      <w:proofErr w:type="gramStart"/>
      <w:r w:rsidRPr="00696353">
        <w:rPr>
          <w:i/>
        </w:rPr>
        <w:t>)</w:t>
      </w:r>
      <w:r w:rsidRPr="009F5BEB">
        <w:t>“</w:t>
      </w:r>
      <w:proofErr w:type="gramEnd"/>
      <w:r w:rsidR="00300EE1">
        <w:t>, to</w:t>
      </w:r>
      <w:r>
        <w:t xml:space="preserve"> provide the basis for the </w:t>
      </w:r>
      <w:r w:rsidRPr="009F5BEB">
        <w:t xml:space="preserve">envisaged </w:t>
      </w:r>
      <w:r w:rsidRPr="00696353">
        <w:rPr>
          <w:i/>
        </w:rPr>
        <w:t>Regional Program to Promote E-Mobility Markets in PICTs</w:t>
      </w:r>
      <w:r w:rsidR="00300EE1">
        <w:t xml:space="preserve">. </w:t>
      </w:r>
      <w:r>
        <w:t xml:space="preserve"> </w:t>
      </w:r>
    </w:p>
    <w:p w14:paraId="22DDAB00" w14:textId="75ED032F" w:rsidR="007E1564" w:rsidRDefault="0057781A" w:rsidP="0017768C">
      <w:pPr>
        <w:spacing w:before="120" w:after="120" w:line="216" w:lineRule="auto"/>
      </w:pPr>
      <w:r w:rsidRPr="00194394">
        <w:t xml:space="preserve">Based on the technical findings, a regional PICTs vision on EVs has been prepared in the form of this policy document. </w:t>
      </w:r>
      <w:r w:rsidR="0017768C">
        <w:t xml:space="preserve">Also </w:t>
      </w:r>
      <w:r w:rsidR="00FB7EDE">
        <w:t>based on the</w:t>
      </w:r>
      <w:r w:rsidR="0017768C">
        <w:t xml:space="preserve"> </w:t>
      </w:r>
      <w:r w:rsidR="0054193B" w:rsidRPr="00194394">
        <w:t>global review of the EV sector</w:t>
      </w:r>
      <w:r w:rsidR="0017768C">
        <w:t xml:space="preserve"> that was </w:t>
      </w:r>
      <w:r w:rsidR="0054193B" w:rsidRPr="00194394">
        <w:t xml:space="preserve">carried </w:t>
      </w:r>
      <w:r w:rsidR="00AE1984">
        <w:t>out</w:t>
      </w:r>
      <w:r w:rsidR="0017768C">
        <w:t xml:space="preserve">, the four areas that the </w:t>
      </w:r>
      <w:r w:rsidR="00FB7EDE">
        <w:t>PICT Energy and Transport M</w:t>
      </w:r>
      <w:r w:rsidR="0017768C">
        <w:t xml:space="preserve">inisters requested to be addressed </w:t>
      </w:r>
      <w:r w:rsidR="00FB7EDE">
        <w:t xml:space="preserve">by </w:t>
      </w:r>
      <w:r w:rsidR="0017768C">
        <w:t xml:space="preserve">the proposed e-mobility study were broadened </w:t>
      </w:r>
      <w:r w:rsidR="007E1564">
        <w:t xml:space="preserve">with the aim of </w:t>
      </w:r>
      <w:r w:rsidR="0017768C">
        <w:t>captur</w:t>
      </w:r>
      <w:r w:rsidR="007E1564">
        <w:t>ing</w:t>
      </w:r>
      <w:r w:rsidR="0017768C">
        <w:t xml:space="preserve"> </w:t>
      </w:r>
      <w:r w:rsidR="00B312FC">
        <w:t xml:space="preserve">a wider set of EV-related </w:t>
      </w:r>
      <w:r w:rsidR="007E1564">
        <w:t>consideration</w:t>
      </w:r>
      <w:r w:rsidR="00B312FC">
        <w:t>s</w:t>
      </w:r>
      <w:r w:rsidR="007E1564">
        <w:t>. In this respect:</w:t>
      </w:r>
    </w:p>
    <w:p w14:paraId="10F3938E" w14:textId="60512027" w:rsidR="007E1564" w:rsidRPr="00194394" w:rsidRDefault="007E1564" w:rsidP="007E1564">
      <w:pPr>
        <w:pStyle w:val="ListParagraph"/>
        <w:numPr>
          <w:ilvl w:val="0"/>
          <w:numId w:val="41"/>
        </w:numPr>
        <w:spacing w:before="120" w:after="120" w:line="216" w:lineRule="auto"/>
        <w:rPr>
          <w:rFonts w:cstheme="minorHAnsi"/>
        </w:rPr>
      </w:pPr>
      <w:r>
        <w:t>The</w:t>
      </w:r>
      <w:r w:rsidR="00B312FC">
        <w:t xml:space="preserve"> </w:t>
      </w:r>
      <w:r w:rsidR="00FB7EDE">
        <w:t xml:space="preserve">subject </w:t>
      </w:r>
      <w:r>
        <w:t xml:space="preserve">area </w:t>
      </w:r>
      <w:r w:rsidR="0017768C" w:rsidRPr="00194394">
        <w:t xml:space="preserve">of </w:t>
      </w:r>
      <w:r>
        <w:t>“P</w:t>
      </w:r>
      <w:r w:rsidR="0017768C" w:rsidRPr="00194394">
        <w:t xml:space="preserve">olicy and </w:t>
      </w:r>
      <w:r>
        <w:t>R</w:t>
      </w:r>
      <w:r w:rsidR="0017768C" w:rsidRPr="00194394">
        <w:t>egulation</w:t>
      </w:r>
      <w:r>
        <w:t xml:space="preserve">” was broadened to </w:t>
      </w:r>
      <w:r w:rsidRPr="00FE0F6C">
        <w:rPr>
          <w:rFonts w:ascii="Calibri" w:hAnsi="Calibri" w:cs="Calibri"/>
        </w:rPr>
        <w:t>“Central Policy and Administration”</w:t>
      </w:r>
      <w:r>
        <w:rPr>
          <w:rFonts w:ascii="Calibri" w:hAnsi="Calibri" w:cs="Calibri"/>
        </w:rPr>
        <w:t xml:space="preserve">, to incorporate </w:t>
      </w:r>
      <w:r w:rsidR="00B312FC">
        <w:rPr>
          <w:rFonts w:ascii="Calibri" w:hAnsi="Calibri" w:cs="Calibri"/>
        </w:rPr>
        <w:t xml:space="preserve">the </w:t>
      </w:r>
      <w:r>
        <w:rPr>
          <w:rFonts w:ascii="Calibri" w:hAnsi="Calibri" w:cs="Calibri"/>
        </w:rPr>
        <w:t>governance</w:t>
      </w:r>
      <w:r w:rsidR="00B312FC">
        <w:rPr>
          <w:rFonts w:ascii="Calibri" w:hAnsi="Calibri" w:cs="Calibri"/>
        </w:rPr>
        <w:t xml:space="preserve"> and administration of the e-mobility program</w:t>
      </w:r>
      <w:r w:rsidR="005A5ED7">
        <w:rPr>
          <w:rFonts w:ascii="Calibri" w:hAnsi="Calibri" w:cs="Calibri"/>
        </w:rPr>
        <w:t>;</w:t>
      </w:r>
    </w:p>
    <w:p w14:paraId="60042DC5" w14:textId="44002736" w:rsidR="005A5ED7" w:rsidRPr="00194394" w:rsidRDefault="007E1564" w:rsidP="007E1564">
      <w:pPr>
        <w:pStyle w:val="ListParagraph"/>
        <w:numPr>
          <w:ilvl w:val="0"/>
          <w:numId w:val="41"/>
        </w:numPr>
        <w:spacing w:before="120" w:after="120" w:line="216" w:lineRule="auto"/>
        <w:rPr>
          <w:rFonts w:cstheme="minorHAnsi"/>
        </w:rPr>
      </w:pPr>
      <w:r>
        <w:rPr>
          <w:rFonts w:ascii="Calibri" w:hAnsi="Calibri" w:cs="Calibri"/>
        </w:rPr>
        <w:t xml:space="preserve">The </w:t>
      </w:r>
      <w:r w:rsidR="00FB7EDE">
        <w:rPr>
          <w:rFonts w:ascii="Calibri" w:hAnsi="Calibri" w:cs="Calibri"/>
        </w:rPr>
        <w:t xml:space="preserve">subject </w:t>
      </w:r>
      <w:r>
        <w:rPr>
          <w:rFonts w:ascii="Calibri" w:hAnsi="Calibri" w:cs="Calibri"/>
        </w:rPr>
        <w:t>area of “K</w:t>
      </w:r>
      <w:r w:rsidR="0017768C" w:rsidRPr="00194394">
        <w:t xml:space="preserve">nowledge </w:t>
      </w:r>
      <w:r>
        <w:t>M</w:t>
      </w:r>
      <w:r w:rsidR="0017768C" w:rsidRPr="00194394">
        <w:t>anagement</w:t>
      </w:r>
      <w:r>
        <w:t xml:space="preserve">” was broadened to </w:t>
      </w:r>
      <w:r w:rsidRPr="00FE0F6C">
        <w:rPr>
          <w:rFonts w:ascii="Calibri" w:hAnsi="Calibri" w:cs="Calibri"/>
        </w:rPr>
        <w:t>“Awareness and Promotion”</w:t>
      </w:r>
      <w:r>
        <w:rPr>
          <w:rFonts w:ascii="Calibri" w:hAnsi="Calibri" w:cs="Calibri"/>
        </w:rPr>
        <w:t xml:space="preserve"> to align with global trends in this respect</w:t>
      </w:r>
      <w:r w:rsidR="005A5ED7">
        <w:rPr>
          <w:rFonts w:ascii="Calibri" w:hAnsi="Calibri" w:cs="Calibri"/>
        </w:rPr>
        <w:t xml:space="preserve">, to mention </w:t>
      </w:r>
      <w:r w:rsidR="00B312FC">
        <w:rPr>
          <w:rFonts w:ascii="Calibri" w:hAnsi="Calibri" w:cs="Calibri"/>
        </w:rPr>
        <w:t>a</w:t>
      </w:r>
      <w:r w:rsidR="005A5ED7">
        <w:rPr>
          <w:rFonts w:ascii="Calibri" w:hAnsi="Calibri" w:cs="Calibri"/>
        </w:rPr>
        <w:t xml:space="preserve"> significant target outcome (regional “awareness”) </w:t>
      </w:r>
      <w:proofErr w:type="gramStart"/>
      <w:r w:rsidR="005A5ED7">
        <w:rPr>
          <w:rFonts w:ascii="Calibri" w:hAnsi="Calibri" w:cs="Calibri"/>
        </w:rPr>
        <w:t>and also</w:t>
      </w:r>
      <w:proofErr w:type="gramEnd"/>
      <w:r w:rsidR="005A5ED7">
        <w:rPr>
          <w:rFonts w:ascii="Calibri" w:hAnsi="Calibri" w:cs="Calibri"/>
        </w:rPr>
        <w:t xml:space="preserve"> to </w:t>
      </w:r>
      <w:r>
        <w:rPr>
          <w:rFonts w:ascii="Calibri" w:hAnsi="Calibri" w:cs="Calibri"/>
        </w:rPr>
        <w:t>reflect the importance of promotional activities</w:t>
      </w:r>
      <w:r w:rsidR="005A5ED7">
        <w:rPr>
          <w:rFonts w:ascii="Calibri" w:hAnsi="Calibri" w:cs="Calibri"/>
        </w:rPr>
        <w:t>;</w:t>
      </w:r>
    </w:p>
    <w:p w14:paraId="5BDA0B69" w14:textId="1AB59B8A" w:rsidR="005A5ED7" w:rsidRPr="00194394" w:rsidRDefault="005A5ED7" w:rsidP="007E1564">
      <w:pPr>
        <w:pStyle w:val="ListParagraph"/>
        <w:numPr>
          <w:ilvl w:val="0"/>
          <w:numId w:val="41"/>
        </w:numPr>
        <w:spacing w:before="120" w:after="120" w:line="216" w:lineRule="auto"/>
        <w:rPr>
          <w:rFonts w:cstheme="minorHAnsi"/>
        </w:rPr>
      </w:pPr>
      <w:r>
        <w:rPr>
          <w:rFonts w:ascii="Calibri" w:hAnsi="Calibri" w:cs="Calibri"/>
        </w:rPr>
        <w:t xml:space="preserve">The </w:t>
      </w:r>
      <w:r w:rsidR="00FB7EDE">
        <w:rPr>
          <w:rFonts w:ascii="Calibri" w:hAnsi="Calibri" w:cs="Calibri"/>
        </w:rPr>
        <w:t xml:space="preserve">subject </w:t>
      </w:r>
      <w:r>
        <w:rPr>
          <w:rFonts w:ascii="Calibri" w:hAnsi="Calibri" w:cs="Calibri"/>
        </w:rPr>
        <w:t>area of “Q</w:t>
      </w:r>
      <w:r w:rsidR="0017768C" w:rsidRPr="00194394">
        <w:t>ualification/</w:t>
      </w:r>
      <w:r>
        <w:t>C</w:t>
      </w:r>
      <w:r w:rsidR="0017768C" w:rsidRPr="00194394">
        <w:t>ertification</w:t>
      </w:r>
      <w:r>
        <w:t xml:space="preserve">” was broadened to </w:t>
      </w:r>
      <w:r w:rsidRPr="00FE0F6C">
        <w:rPr>
          <w:rFonts w:ascii="Calibri" w:hAnsi="Calibri" w:cs="Calibri"/>
        </w:rPr>
        <w:t>“Standards and Guidelines”</w:t>
      </w:r>
      <w:r>
        <w:rPr>
          <w:rFonts w:ascii="Calibri" w:hAnsi="Calibri" w:cs="Calibri"/>
        </w:rPr>
        <w:t xml:space="preserve"> to incorporate a far wider range of quality measures of which qualification and certification is but one component; and </w:t>
      </w:r>
    </w:p>
    <w:p w14:paraId="7E695D21" w14:textId="66EA5A96" w:rsidR="0009119E" w:rsidRPr="00194394" w:rsidRDefault="005A5ED7" w:rsidP="007E1564">
      <w:pPr>
        <w:pStyle w:val="ListParagraph"/>
        <w:numPr>
          <w:ilvl w:val="0"/>
          <w:numId w:val="41"/>
        </w:numPr>
        <w:spacing w:before="120" w:after="120" w:line="216" w:lineRule="auto"/>
        <w:rPr>
          <w:rFonts w:cstheme="minorHAnsi"/>
        </w:rPr>
      </w:pPr>
      <w:r>
        <w:t xml:space="preserve">The </w:t>
      </w:r>
      <w:r w:rsidR="00FB7EDE">
        <w:t xml:space="preserve">subject </w:t>
      </w:r>
      <w:r>
        <w:t>area of “I</w:t>
      </w:r>
      <w:r w:rsidR="0017768C" w:rsidRPr="00194394">
        <w:t xml:space="preserve">nvestment, </w:t>
      </w:r>
      <w:r>
        <w:t>E</w:t>
      </w:r>
      <w:r w:rsidR="0017768C" w:rsidRPr="00194394">
        <w:t xml:space="preserve">ntrepreneurship and </w:t>
      </w:r>
      <w:r>
        <w:t>I</w:t>
      </w:r>
      <w:r w:rsidR="0017768C" w:rsidRPr="00194394">
        <w:t>nnovation</w:t>
      </w:r>
      <w:r>
        <w:t xml:space="preserve">” was broadened to </w:t>
      </w:r>
      <w:r w:rsidRPr="00FE0F6C">
        <w:rPr>
          <w:rFonts w:ascii="Calibri" w:hAnsi="Calibri" w:cs="Calibri"/>
        </w:rPr>
        <w:t>“</w:t>
      </w:r>
      <w:r>
        <w:rPr>
          <w:rFonts w:ascii="Calibri" w:hAnsi="Calibri" w:cs="Calibri"/>
        </w:rPr>
        <w:t>Demonstration and Upscale</w:t>
      </w:r>
      <w:r w:rsidRPr="00FE0F6C">
        <w:rPr>
          <w:rFonts w:ascii="Calibri" w:hAnsi="Calibri" w:cs="Calibri"/>
        </w:rPr>
        <w:t>”</w:t>
      </w:r>
      <w:r>
        <w:rPr>
          <w:rFonts w:ascii="Calibri" w:hAnsi="Calibri" w:cs="Calibri"/>
        </w:rPr>
        <w:t>, to capture a wider range of EV-related deployment projects</w:t>
      </w:r>
      <w:r w:rsidR="0009119E">
        <w:rPr>
          <w:rFonts w:ascii="Calibri" w:hAnsi="Calibri" w:cs="Calibri"/>
        </w:rPr>
        <w:t>, from first demonstration through to national scale up</w:t>
      </w:r>
      <w:r w:rsidR="0030192A">
        <w:rPr>
          <w:rFonts w:ascii="Calibri" w:hAnsi="Calibri" w:cs="Calibri"/>
        </w:rPr>
        <w:t xml:space="preserve"> (again, which investment, innovation, etc. is one component)</w:t>
      </w:r>
      <w:r w:rsidR="0009119E">
        <w:rPr>
          <w:rFonts w:ascii="Calibri" w:hAnsi="Calibri" w:cs="Calibri"/>
        </w:rPr>
        <w:t>.</w:t>
      </w:r>
    </w:p>
    <w:p w14:paraId="1D079DBA" w14:textId="5CA05106" w:rsidR="0030192A" w:rsidRDefault="00FB7EDE" w:rsidP="0030192A">
      <w:pPr>
        <w:spacing w:before="120" w:after="120" w:line="216" w:lineRule="auto"/>
        <w:rPr>
          <w:rFonts w:ascii="Calibri" w:hAnsi="Calibri" w:cs="Calibri"/>
          <w:lang w:val="en-AU"/>
        </w:rPr>
      </w:pPr>
      <w:r>
        <w:rPr>
          <w:rFonts w:ascii="Calibri" w:hAnsi="Calibri" w:cs="Calibri"/>
          <w:lang w:val="en-AU"/>
        </w:rPr>
        <w:t>Thus, i</w:t>
      </w:r>
      <w:r w:rsidR="0030192A">
        <w:rPr>
          <w:rFonts w:ascii="Calibri" w:hAnsi="Calibri" w:cs="Calibri"/>
          <w:lang w:val="en-AU"/>
        </w:rPr>
        <w:t xml:space="preserve">n line with </w:t>
      </w:r>
      <w:r w:rsidR="0009119E">
        <w:rPr>
          <w:rFonts w:ascii="Calibri" w:hAnsi="Calibri" w:cs="Calibri"/>
          <w:lang w:val="en-AU"/>
        </w:rPr>
        <w:t>the Ministers’</w:t>
      </w:r>
      <w:r>
        <w:rPr>
          <w:rFonts w:ascii="Calibri" w:hAnsi="Calibri" w:cs="Calibri"/>
          <w:lang w:val="en-AU"/>
        </w:rPr>
        <w:t xml:space="preserve"> resolutions, but taking this broader approach</w:t>
      </w:r>
      <w:r w:rsidR="0009119E">
        <w:rPr>
          <w:rFonts w:ascii="Calibri" w:hAnsi="Calibri" w:cs="Calibri"/>
          <w:lang w:val="en-AU"/>
        </w:rPr>
        <w:t xml:space="preserve">, this </w:t>
      </w:r>
      <w:r w:rsidR="0057781A">
        <w:rPr>
          <w:rFonts w:ascii="Calibri" w:hAnsi="Calibri" w:cs="Calibri"/>
          <w:lang w:val="en-AU"/>
        </w:rPr>
        <w:t>document</w:t>
      </w:r>
      <w:r w:rsidR="0030192A">
        <w:rPr>
          <w:rFonts w:ascii="Calibri" w:hAnsi="Calibri" w:cs="Calibri"/>
          <w:lang w:val="en-AU"/>
        </w:rPr>
        <w:t>:</w:t>
      </w:r>
    </w:p>
    <w:p w14:paraId="644D7EE1" w14:textId="77777777" w:rsidR="0030192A" w:rsidRPr="00194394" w:rsidRDefault="0030192A" w:rsidP="0030192A">
      <w:pPr>
        <w:pStyle w:val="ListParagraph"/>
        <w:numPr>
          <w:ilvl w:val="0"/>
          <w:numId w:val="42"/>
        </w:numPr>
        <w:spacing w:before="120" w:after="120" w:line="216" w:lineRule="auto"/>
        <w:rPr>
          <w:rFonts w:ascii="Calibri" w:hAnsi="Calibri" w:cs="Calibri"/>
        </w:rPr>
      </w:pPr>
      <w:r>
        <w:rPr>
          <w:rFonts w:ascii="Calibri" w:hAnsi="Calibri" w:cs="Calibri"/>
          <w:lang w:val="en-AU"/>
        </w:rPr>
        <w:t>P</w:t>
      </w:r>
      <w:r w:rsidRPr="0030192A">
        <w:rPr>
          <w:rFonts w:ascii="Calibri" w:hAnsi="Calibri" w:cs="Calibri"/>
          <w:lang w:val="en-AU"/>
        </w:rPr>
        <w:t>ropose</w:t>
      </w:r>
      <w:r>
        <w:rPr>
          <w:rFonts w:ascii="Calibri" w:hAnsi="Calibri" w:cs="Calibri"/>
          <w:lang w:val="en-AU"/>
        </w:rPr>
        <w:t>s</w:t>
      </w:r>
      <w:r w:rsidRPr="0030192A">
        <w:rPr>
          <w:rFonts w:ascii="Calibri" w:hAnsi="Calibri" w:cs="Calibri"/>
          <w:lang w:val="en-AU"/>
        </w:rPr>
        <w:t xml:space="preserve"> regional e-mobility targets for the PICTs region </w:t>
      </w:r>
      <w:r>
        <w:rPr>
          <w:rFonts w:ascii="Calibri" w:hAnsi="Calibri" w:cs="Calibri"/>
          <w:lang w:val="en-AU"/>
        </w:rPr>
        <w:t xml:space="preserve">for </w:t>
      </w:r>
      <w:r w:rsidRPr="0030192A">
        <w:rPr>
          <w:rFonts w:ascii="Calibri" w:hAnsi="Calibri" w:cs="Calibri"/>
          <w:lang w:val="en-AU"/>
        </w:rPr>
        <w:t>2030 and 2050</w:t>
      </w:r>
      <w:r>
        <w:rPr>
          <w:rFonts w:ascii="Calibri" w:hAnsi="Calibri" w:cs="Calibri"/>
          <w:lang w:val="en-AU"/>
        </w:rPr>
        <w:t>;</w:t>
      </w:r>
    </w:p>
    <w:p w14:paraId="488F56B3" w14:textId="4CDA4B2E" w:rsidR="0057781A" w:rsidRPr="00194394" w:rsidRDefault="0030192A" w:rsidP="00194394">
      <w:pPr>
        <w:pStyle w:val="ListParagraph"/>
        <w:numPr>
          <w:ilvl w:val="0"/>
          <w:numId w:val="42"/>
        </w:numPr>
        <w:spacing w:before="120" w:after="120" w:line="216" w:lineRule="auto"/>
        <w:rPr>
          <w:rFonts w:ascii="Calibri" w:hAnsi="Calibri" w:cs="Calibri"/>
        </w:rPr>
      </w:pPr>
      <w:r>
        <w:rPr>
          <w:rFonts w:ascii="Calibri" w:hAnsi="Calibri" w:cs="Calibri"/>
          <w:lang w:val="en-AU"/>
        </w:rPr>
        <w:t>I</w:t>
      </w:r>
      <w:r w:rsidR="0057781A" w:rsidRPr="00194394">
        <w:rPr>
          <w:rFonts w:ascii="Calibri" w:hAnsi="Calibri" w:cs="Calibri"/>
          <w:lang w:val="en-AU"/>
        </w:rPr>
        <w:t>dentifies the main barriers for the uptake of EVs in PICTs</w:t>
      </w:r>
      <w:r w:rsidR="0009119E" w:rsidRPr="00194394">
        <w:rPr>
          <w:rFonts w:ascii="Calibri" w:hAnsi="Calibri" w:cs="Calibri"/>
          <w:lang w:val="en-AU"/>
        </w:rPr>
        <w:t xml:space="preserve">. It then </w:t>
      </w:r>
      <w:r w:rsidR="0057781A" w:rsidRPr="00194394">
        <w:rPr>
          <w:rFonts w:ascii="Calibri" w:hAnsi="Calibri" w:cs="Calibri"/>
          <w:lang w:val="en-AU"/>
        </w:rPr>
        <w:t xml:space="preserve">draws up thirty-eight (38) concrete policy </w:t>
      </w:r>
      <w:r w:rsidR="0054193B" w:rsidRPr="00194394">
        <w:rPr>
          <w:rFonts w:ascii="Calibri" w:hAnsi="Calibri" w:cs="Calibri"/>
          <w:lang w:val="en-AU"/>
        </w:rPr>
        <w:t>actions</w:t>
      </w:r>
      <w:r w:rsidR="00300EE1" w:rsidRPr="00194394">
        <w:rPr>
          <w:rFonts w:ascii="Calibri" w:hAnsi="Calibri" w:cs="Calibri"/>
          <w:lang w:val="en-AU"/>
        </w:rPr>
        <w:t xml:space="preserve"> </w:t>
      </w:r>
      <w:r w:rsidR="0057781A" w:rsidRPr="00194394">
        <w:rPr>
          <w:rFonts w:ascii="Calibri" w:hAnsi="Calibri" w:cs="Calibri"/>
          <w:lang w:val="en-AU"/>
        </w:rPr>
        <w:t>to address the</w:t>
      </w:r>
      <w:r w:rsidR="0009119E" w:rsidRPr="00194394">
        <w:rPr>
          <w:rFonts w:ascii="Calibri" w:hAnsi="Calibri" w:cs="Calibri"/>
          <w:lang w:val="en-AU"/>
        </w:rPr>
        <w:t xml:space="preserve">se barriers, with the </w:t>
      </w:r>
      <w:r w:rsidR="0057781A" w:rsidRPr="00194394">
        <w:rPr>
          <w:rFonts w:ascii="Calibri" w:hAnsi="Calibri" w:cs="Calibri"/>
        </w:rPr>
        <w:t xml:space="preserve">policy </w:t>
      </w:r>
      <w:r w:rsidR="0054193B" w:rsidRPr="00194394">
        <w:rPr>
          <w:rFonts w:ascii="Calibri" w:hAnsi="Calibri" w:cs="Calibri"/>
        </w:rPr>
        <w:t>actions</w:t>
      </w:r>
      <w:r w:rsidR="0057781A" w:rsidRPr="00194394">
        <w:rPr>
          <w:rFonts w:ascii="Calibri" w:hAnsi="Calibri" w:cs="Calibri"/>
        </w:rPr>
        <w:t xml:space="preserve"> stretch</w:t>
      </w:r>
      <w:r w:rsidR="0009119E" w:rsidRPr="00194394">
        <w:rPr>
          <w:rFonts w:ascii="Calibri" w:hAnsi="Calibri" w:cs="Calibri"/>
        </w:rPr>
        <w:t xml:space="preserve">ing </w:t>
      </w:r>
      <w:r w:rsidR="0057781A" w:rsidRPr="00194394">
        <w:rPr>
          <w:rFonts w:ascii="Calibri" w:hAnsi="Calibri" w:cs="Calibri"/>
        </w:rPr>
        <w:t>across the four broad themes</w:t>
      </w:r>
      <w:r w:rsidR="0009119E" w:rsidRPr="00194394">
        <w:rPr>
          <w:rFonts w:ascii="Calibri" w:hAnsi="Calibri" w:cs="Calibri"/>
        </w:rPr>
        <w:t xml:space="preserve"> outlined above (namely</w:t>
      </w:r>
      <w:r w:rsidRPr="00194394">
        <w:rPr>
          <w:rFonts w:ascii="Calibri" w:hAnsi="Calibri" w:cs="Calibri"/>
        </w:rPr>
        <w:t>:</w:t>
      </w:r>
      <w:r w:rsidR="0009119E" w:rsidRPr="00194394">
        <w:rPr>
          <w:rFonts w:ascii="Calibri" w:hAnsi="Calibri" w:cs="Calibri"/>
        </w:rPr>
        <w:t xml:space="preserve"> </w:t>
      </w:r>
      <w:r w:rsidR="0057781A" w:rsidRPr="00194394">
        <w:rPr>
          <w:rFonts w:ascii="Calibri" w:hAnsi="Calibri" w:cs="Calibri"/>
        </w:rPr>
        <w:t>“Central Policy and Administration”, “Standards and Guidelines”, “Awareness and Promotion”, and “Demonstration and Upscale”</w:t>
      </w:r>
      <w:r w:rsidRPr="00194394">
        <w:rPr>
          <w:rFonts w:ascii="Calibri" w:hAnsi="Calibri" w:cs="Calibri"/>
        </w:rPr>
        <w:t>)</w:t>
      </w:r>
      <w:r w:rsidR="0057781A" w:rsidRPr="00194394">
        <w:rPr>
          <w:rFonts w:ascii="Calibri" w:hAnsi="Calibri" w:cs="Calibri"/>
        </w:rPr>
        <w:t xml:space="preserve">. </w:t>
      </w:r>
      <w:r w:rsidR="0057781A" w:rsidRPr="00194394">
        <w:rPr>
          <w:rFonts w:ascii="Calibri" w:hAnsi="Calibri" w:cs="Calibri"/>
          <w:lang w:val="en-AU"/>
        </w:rPr>
        <w:t>The</w:t>
      </w:r>
      <w:r>
        <w:rPr>
          <w:rFonts w:ascii="Calibri" w:hAnsi="Calibri" w:cs="Calibri"/>
          <w:lang w:val="en-AU"/>
        </w:rPr>
        <w:t>se</w:t>
      </w:r>
      <w:r w:rsidR="0057781A" w:rsidRPr="00194394">
        <w:rPr>
          <w:rFonts w:ascii="Calibri" w:hAnsi="Calibri" w:cs="Calibri"/>
          <w:lang w:val="en-AU"/>
        </w:rPr>
        <w:t xml:space="preserve"> policy actions aim to </w:t>
      </w:r>
      <w:r w:rsidRPr="00194394">
        <w:rPr>
          <w:rFonts w:ascii="Calibri" w:hAnsi="Calibri" w:cs="Calibri"/>
          <w:lang w:val="en-AU"/>
        </w:rPr>
        <w:t xml:space="preserve">best </w:t>
      </w:r>
      <w:r w:rsidR="0057781A" w:rsidRPr="00194394">
        <w:rPr>
          <w:rFonts w:ascii="Calibri" w:hAnsi="Calibri" w:cs="Calibri"/>
        </w:rPr>
        <w:t>prepare PICTs for their respective EV futures and to lea</w:t>
      </w:r>
      <w:r w:rsidR="00C543A8" w:rsidRPr="00194394">
        <w:rPr>
          <w:rFonts w:ascii="Calibri" w:hAnsi="Calibri" w:cs="Calibri"/>
        </w:rPr>
        <w:t xml:space="preserve">d </w:t>
      </w:r>
      <w:r w:rsidR="0057781A" w:rsidRPr="00194394">
        <w:rPr>
          <w:rFonts w:ascii="Calibri" w:hAnsi="Calibri" w:cs="Calibri"/>
        </w:rPr>
        <w:t xml:space="preserve">them through those futures. </w:t>
      </w:r>
    </w:p>
    <w:p w14:paraId="26260F50" w14:textId="134CE435" w:rsidR="0030192A" w:rsidRPr="00194394" w:rsidRDefault="0030192A" w:rsidP="00194394">
      <w:pPr>
        <w:pStyle w:val="Heading1"/>
        <w:rPr>
          <w:rFonts w:cstheme="minorHAnsi"/>
          <w:b/>
          <w:color w:val="1F3864" w:themeColor="accent1" w:themeShade="80"/>
          <w:sz w:val="24"/>
        </w:rPr>
      </w:pPr>
      <w:bookmarkStart w:id="16" w:name="_Toc38034041"/>
      <w:r w:rsidRPr="000C13D7">
        <w:rPr>
          <w:rFonts w:asciiTheme="minorHAnsi" w:hAnsiTheme="minorHAnsi" w:cstheme="minorHAnsi"/>
          <w:b/>
          <w:color w:val="1F3864" w:themeColor="accent1" w:themeShade="80"/>
          <w:sz w:val="24"/>
        </w:rPr>
        <w:lastRenderedPageBreak/>
        <w:t xml:space="preserve">Structure </w:t>
      </w:r>
      <w:r>
        <w:rPr>
          <w:rFonts w:asciiTheme="minorHAnsi" w:hAnsiTheme="minorHAnsi" w:cstheme="minorHAnsi"/>
          <w:b/>
          <w:color w:val="1F3864" w:themeColor="accent1" w:themeShade="80"/>
          <w:sz w:val="24"/>
        </w:rPr>
        <w:t>of this Policy Document</w:t>
      </w:r>
      <w:bookmarkEnd w:id="16"/>
    </w:p>
    <w:p w14:paraId="3DFDE552" w14:textId="384BA537" w:rsidR="0057781A" w:rsidRDefault="0057781A" w:rsidP="0057781A">
      <w:pPr>
        <w:spacing w:before="120" w:after="120" w:line="216" w:lineRule="auto"/>
        <w:rPr>
          <w:rFonts w:ascii="Calibri" w:hAnsi="Calibri" w:cs="Calibri"/>
        </w:rPr>
      </w:pPr>
      <w:r>
        <w:t>Th</w:t>
      </w:r>
      <w:r w:rsidR="0030192A">
        <w:t>is</w:t>
      </w:r>
      <w:r>
        <w:t xml:space="preserve"> policy document </w:t>
      </w:r>
      <w:r w:rsidRPr="002F47F6">
        <w:t xml:space="preserve">is structured as follows:  </w:t>
      </w:r>
    </w:p>
    <w:p w14:paraId="29DF3F45" w14:textId="490E09B8" w:rsidR="00EB2BB2" w:rsidRPr="002F47F6" w:rsidRDefault="00EC2600" w:rsidP="000C13D7">
      <w:pPr>
        <w:pStyle w:val="ListParagraph"/>
        <w:numPr>
          <w:ilvl w:val="0"/>
          <w:numId w:val="1"/>
        </w:numPr>
        <w:spacing w:after="120" w:line="216" w:lineRule="auto"/>
      </w:pPr>
      <w:r w:rsidRPr="002F47F6">
        <w:t xml:space="preserve">Section </w:t>
      </w:r>
      <w:r w:rsidR="000840D6">
        <w:t>4</w:t>
      </w:r>
      <w:r w:rsidRPr="002F47F6">
        <w:t xml:space="preserve"> </w:t>
      </w:r>
      <w:r w:rsidR="001D6C5E" w:rsidRPr="002F47F6">
        <w:t>summarises</w:t>
      </w:r>
      <w:r w:rsidRPr="002F47F6">
        <w:t xml:space="preserve"> the</w:t>
      </w:r>
      <w:r w:rsidR="0038098D">
        <w:t xml:space="preserve"> technical background report</w:t>
      </w:r>
      <w:r w:rsidR="00125000" w:rsidRPr="002F47F6">
        <w:t>,</w:t>
      </w:r>
      <w:r w:rsidR="00EB2BB2" w:rsidRPr="002F47F6">
        <w:t xml:space="preserve"> and </w:t>
      </w:r>
      <w:r w:rsidR="001D6C5E" w:rsidRPr="002F47F6">
        <w:t>considers the ways</w:t>
      </w:r>
      <w:r w:rsidR="00EB2BB2" w:rsidRPr="002F47F6">
        <w:t xml:space="preserve"> in which EVs might compliment the supply of electricity</w:t>
      </w:r>
      <w:r w:rsidR="00C931A8" w:rsidRPr="002F47F6">
        <w:t>;</w:t>
      </w:r>
    </w:p>
    <w:p w14:paraId="748B12EE" w14:textId="3A97B069" w:rsidR="00C931A8" w:rsidRPr="002F47F6" w:rsidRDefault="00C931A8" w:rsidP="000C13D7">
      <w:pPr>
        <w:pStyle w:val="ListParagraph"/>
        <w:numPr>
          <w:ilvl w:val="0"/>
          <w:numId w:val="1"/>
        </w:numPr>
        <w:spacing w:after="120" w:line="216" w:lineRule="auto"/>
      </w:pPr>
      <w:r w:rsidRPr="002F47F6">
        <w:t xml:space="preserve">Section </w:t>
      </w:r>
      <w:r w:rsidR="000840D6">
        <w:t>5</w:t>
      </w:r>
      <w:r w:rsidRPr="002F47F6">
        <w:t xml:space="preserve"> d</w:t>
      </w:r>
      <w:r w:rsidR="00EB2BB2" w:rsidRPr="002F47F6">
        <w:t>escribes the polic</w:t>
      </w:r>
      <w:r w:rsidR="001D6C5E" w:rsidRPr="002F47F6">
        <w:t>y</w:t>
      </w:r>
      <w:r w:rsidR="00EB2BB2" w:rsidRPr="002F47F6">
        <w:t xml:space="preserve"> context of the PICTs, </w:t>
      </w:r>
      <w:r w:rsidR="001D6C5E" w:rsidRPr="002F47F6">
        <w:t xml:space="preserve">with </w:t>
      </w:r>
      <w:proofErr w:type="gramStart"/>
      <w:r w:rsidR="001D6C5E" w:rsidRPr="002F47F6">
        <w:t>particular regard</w:t>
      </w:r>
      <w:proofErr w:type="gramEnd"/>
      <w:r w:rsidR="001D6C5E" w:rsidRPr="002F47F6">
        <w:t xml:space="preserve"> for what must be considered when</w:t>
      </w:r>
      <w:r w:rsidR="00EB2BB2" w:rsidRPr="002F47F6">
        <w:t xml:space="preserve"> thinking </w:t>
      </w:r>
      <w:r w:rsidR="001D6C5E" w:rsidRPr="002F47F6">
        <w:t xml:space="preserve">about </w:t>
      </w:r>
      <w:r w:rsidR="00EB2BB2" w:rsidRPr="002F47F6">
        <w:t xml:space="preserve">how to </w:t>
      </w:r>
      <w:r w:rsidRPr="002F47F6">
        <w:t>introduce policy related to EVs;</w:t>
      </w:r>
    </w:p>
    <w:p w14:paraId="3492E4D4" w14:textId="39372C01" w:rsidR="00FB7EDE" w:rsidRDefault="00FB7EDE" w:rsidP="000C13D7">
      <w:pPr>
        <w:pStyle w:val="ListParagraph"/>
        <w:numPr>
          <w:ilvl w:val="0"/>
          <w:numId w:val="1"/>
        </w:numPr>
        <w:spacing w:after="120" w:line="216" w:lineRule="auto"/>
      </w:pPr>
      <w:r>
        <w:t>Section 6 co</w:t>
      </w:r>
      <w:r w:rsidR="004B1A23">
        <w:t xml:space="preserve">mbines </w:t>
      </w:r>
      <w:r w:rsidR="004B1A23" w:rsidRPr="002F47F6">
        <w:t xml:space="preserve">the findings of Sections </w:t>
      </w:r>
      <w:r w:rsidR="004B1A23">
        <w:t>4</w:t>
      </w:r>
      <w:r w:rsidR="004B1A23" w:rsidRPr="002F47F6">
        <w:t xml:space="preserve"> and </w:t>
      </w:r>
      <w:r w:rsidR="004B1A23">
        <w:t>5</w:t>
      </w:r>
      <w:r w:rsidR="004B1A23" w:rsidRPr="002F47F6">
        <w:t xml:space="preserve"> to identify </w:t>
      </w:r>
      <w:r w:rsidR="00D74409">
        <w:t>medium- and long-term</w:t>
      </w:r>
      <w:r w:rsidR="004B1A23">
        <w:t xml:space="preserve"> targets for the EV sector; </w:t>
      </w:r>
    </w:p>
    <w:p w14:paraId="16621EA3" w14:textId="035B7A60" w:rsidR="00C931A8" w:rsidRPr="002F47F6" w:rsidRDefault="00C931A8" w:rsidP="000C13D7">
      <w:pPr>
        <w:pStyle w:val="ListParagraph"/>
        <w:numPr>
          <w:ilvl w:val="0"/>
          <w:numId w:val="1"/>
        </w:numPr>
        <w:spacing w:after="120" w:line="216" w:lineRule="auto"/>
      </w:pPr>
      <w:r w:rsidRPr="002F47F6">
        <w:t xml:space="preserve">Section </w:t>
      </w:r>
      <w:r w:rsidR="004B1A23">
        <w:t>7</w:t>
      </w:r>
      <w:r w:rsidR="000840D6">
        <w:t xml:space="preserve"> </w:t>
      </w:r>
      <w:r w:rsidRPr="002F47F6">
        <w:t xml:space="preserve">combines the findings of Sections </w:t>
      </w:r>
      <w:r w:rsidR="00FB7EDE">
        <w:t>4</w:t>
      </w:r>
      <w:r w:rsidRPr="002F47F6">
        <w:t xml:space="preserve"> and </w:t>
      </w:r>
      <w:r w:rsidR="00FB7EDE">
        <w:t>5</w:t>
      </w:r>
      <w:r w:rsidRPr="002F47F6">
        <w:t xml:space="preserve"> to identify potential barriers to EV uptake, </w:t>
      </w:r>
      <w:r w:rsidR="001D6C5E" w:rsidRPr="002F47F6">
        <w:t>in order to determine ways</w:t>
      </w:r>
      <w:r w:rsidRPr="002F47F6">
        <w:t xml:space="preserve"> to manage these barriers and to </w:t>
      </w:r>
      <w:r w:rsidR="00750AC7" w:rsidRPr="002F47F6">
        <w:t xml:space="preserve">suggest the </w:t>
      </w:r>
      <w:r w:rsidRPr="002F47F6">
        <w:t xml:space="preserve">policy </w:t>
      </w:r>
      <w:r w:rsidR="0054193B">
        <w:t>actions</w:t>
      </w:r>
      <w:r w:rsidRPr="002F47F6">
        <w:t xml:space="preserve"> </w:t>
      </w:r>
      <w:r w:rsidR="00750AC7" w:rsidRPr="002F47F6">
        <w:t>that will</w:t>
      </w:r>
      <w:r w:rsidRPr="002F47F6">
        <w:t xml:space="preserve"> best prepar</w:t>
      </w:r>
      <w:r w:rsidR="00750AC7" w:rsidRPr="002F47F6">
        <w:t>e</w:t>
      </w:r>
      <w:r w:rsidRPr="002F47F6">
        <w:t xml:space="preserve"> PICTs for their respective EV futures;</w:t>
      </w:r>
    </w:p>
    <w:p w14:paraId="4D3E1587" w14:textId="2AD51979" w:rsidR="00C931A8" w:rsidRPr="002F47F6" w:rsidRDefault="00C931A8" w:rsidP="000C13D7">
      <w:pPr>
        <w:pStyle w:val="ListParagraph"/>
        <w:numPr>
          <w:ilvl w:val="0"/>
          <w:numId w:val="1"/>
        </w:numPr>
        <w:spacing w:after="120" w:line="216" w:lineRule="auto"/>
      </w:pPr>
      <w:r w:rsidRPr="002F47F6">
        <w:t xml:space="preserve">Section </w:t>
      </w:r>
      <w:r w:rsidR="004B1A23">
        <w:t>8</w:t>
      </w:r>
      <w:r w:rsidR="000840D6">
        <w:t xml:space="preserve"> </w:t>
      </w:r>
      <w:r w:rsidRPr="002F47F6">
        <w:t>provides the conclusions to this work; and</w:t>
      </w:r>
    </w:p>
    <w:p w14:paraId="61CCAC5D" w14:textId="4C3F0029" w:rsidR="00C931A8" w:rsidRPr="002F47F6" w:rsidRDefault="00C931A8" w:rsidP="000C13D7">
      <w:pPr>
        <w:pStyle w:val="ListParagraph"/>
        <w:numPr>
          <w:ilvl w:val="0"/>
          <w:numId w:val="1"/>
        </w:numPr>
        <w:spacing w:after="120" w:line="216" w:lineRule="auto"/>
      </w:pPr>
      <w:r w:rsidRPr="002F47F6">
        <w:t xml:space="preserve">Appendices A through C provide the working tables and list developed as part of the policy </w:t>
      </w:r>
      <w:r w:rsidR="0054193B">
        <w:t>action</w:t>
      </w:r>
      <w:r w:rsidRPr="002F47F6">
        <w:t xml:space="preserve"> identification work described in Section 5.</w:t>
      </w:r>
    </w:p>
    <w:p w14:paraId="03FD6134" w14:textId="1009BB41" w:rsidR="00C776EE" w:rsidRDefault="0038098D">
      <w:pPr>
        <w:pStyle w:val="Heading1"/>
        <w:rPr>
          <w:rFonts w:asciiTheme="minorHAnsi" w:hAnsiTheme="minorHAnsi" w:cstheme="minorHAnsi"/>
          <w:b/>
          <w:color w:val="1F3864" w:themeColor="accent1" w:themeShade="80"/>
          <w:sz w:val="24"/>
        </w:rPr>
      </w:pPr>
      <w:bookmarkStart w:id="17" w:name="_Toc38034042"/>
      <w:r>
        <w:rPr>
          <w:rFonts w:asciiTheme="minorHAnsi" w:hAnsiTheme="minorHAnsi" w:cstheme="minorHAnsi"/>
          <w:b/>
          <w:color w:val="1F3864" w:themeColor="accent1" w:themeShade="80"/>
          <w:sz w:val="24"/>
        </w:rPr>
        <w:t>Key findings of the Technical Report on EV Options</w:t>
      </w:r>
      <w:bookmarkEnd w:id="17"/>
      <w:r w:rsidR="00C776EE" w:rsidRPr="000C13D7">
        <w:rPr>
          <w:rFonts w:asciiTheme="minorHAnsi" w:hAnsiTheme="minorHAnsi" w:cstheme="minorHAnsi"/>
          <w:b/>
          <w:color w:val="1F3864" w:themeColor="accent1" w:themeShade="80"/>
          <w:sz w:val="24"/>
        </w:rPr>
        <w:t xml:space="preserve"> </w:t>
      </w:r>
      <w:r w:rsidR="00C776EE">
        <w:rPr>
          <w:rFonts w:asciiTheme="minorHAnsi" w:hAnsiTheme="minorHAnsi" w:cstheme="minorHAnsi"/>
          <w:b/>
          <w:color w:val="1F3864" w:themeColor="accent1" w:themeShade="80"/>
          <w:sz w:val="24"/>
        </w:rPr>
        <w:t xml:space="preserve">   </w:t>
      </w:r>
    </w:p>
    <w:p w14:paraId="6917E257" w14:textId="0BB38D37" w:rsidR="0038098D" w:rsidRDefault="004B1A23" w:rsidP="0038098D">
      <w:pPr>
        <w:spacing w:before="120" w:after="120" w:line="216" w:lineRule="auto"/>
        <w:rPr>
          <w:rFonts w:ascii="Calibri" w:hAnsi="Calibri" w:cs="Calibri"/>
          <w:lang w:val="en-AU"/>
        </w:rPr>
      </w:pPr>
      <w:bookmarkStart w:id="18" w:name="_Hlk36739474"/>
      <w:r>
        <w:rPr>
          <w:rFonts w:ascii="Calibri" w:hAnsi="Calibri" w:cs="Calibri"/>
        </w:rPr>
        <w:t>T</w:t>
      </w:r>
      <w:r w:rsidR="0038098D">
        <w:rPr>
          <w:rFonts w:ascii="Calibri" w:hAnsi="Calibri" w:cs="Calibri"/>
        </w:rPr>
        <w:t>he first stage</w:t>
      </w:r>
      <w:r w:rsidR="00AF315C">
        <w:rPr>
          <w:rFonts w:ascii="Calibri" w:hAnsi="Calibri" w:cs="Calibri"/>
        </w:rPr>
        <w:t xml:space="preserve"> of the project</w:t>
      </w:r>
      <w:r>
        <w:rPr>
          <w:rFonts w:ascii="Calibri" w:hAnsi="Calibri" w:cs="Calibri"/>
        </w:rPr>
        <w:t xml:space="preserve"> comprised preparing </w:t>
      </w:r>
      <w:r w:rsidR="0038098D">
        <w:rPr>
          <w:rFonts w:ascii="Calibri" w:hAnsi="Calibri" w:cs="Calibri"/>
        </w:rPr>
        <w:t>a technical report</w:t>
      </w:r>
      <w:r>
        <w:rPr>
          <w:rFonts w:ascii="Calibri" w:hAnsi="Calibri" w:cs="Calibri"/>
        </w:rPr>
        <w:t xml:space="preserve"> aimed at </w:t>
      </w:r>
      <w:r w:rsidR="0038098D">
        <w:rPr>
          <w:rFonts w:ascii="Calibri" w:hAnsi="Calibri" w:cs="Calibri"/>
        </w:rPr>
        <w:t>inform</w:t>
      </w:r>
      <w:r>
        <w:rPr>
          <w:rFonts w:ascii="Calibri" w:hAnsi="Calibri" w:cs="Calibri"/>
        </w:rPr>
        <w:t>ing</w:t>
      </w:r>
      <w:r w:rsidR="0038098D">
        <w:rPr>
          <w:rFonts w:ascii="Calibri" w:hAnsi="Calibri" w:cs="Calibri"/>
        </w:rPr>
        <w:t xml:space="preserve"> PICTs decision-makers on e-mobility options and their potential </w:t>
      </w:r>
      <w:r w:rsidR="00872E56">
        <w:rPr>
          <w:rFonts w:ascii="Calibri" w:hAnsi="Calibri" w:cs="Calibri"/>
        </w:rPr>
        <w:t xml:space="preserve">to benefit </w:t>
      </w:r>
      <w:r w:rsidR="0038098D">
        <w:rPr>
          <w:rFonts w:ascii="Calibri" w:hAnsi="Calibri" w:cs="Calibri"/>
        </w:rPr>
        <w:t>renewable energy</w:t>
      </w:r>
      <w:r w:rsidR="00872E56">
        <w:rPr>
          <w:rFonts w:ascii="Calibri" w:hAnsi="Calibri" w:cs="Calibri"/>
        </w:rPr>
        <w:t>-</w:t>
      </w:r>
      <w:r w:rsidR="0038098D">
        <w:rPr>
          <w:rFonts w:ascii="Calibri" w:hAnsi="Calibri" w:cs="Calibri"/>
        </w:rPr>
        <w:t xml:space="preserve">based power systems of PICTs. </w:t>
      </w:r>
      <w:r w:rsidR="0038098D">
        <w:rPr>
          <w:rFonts w:ascii="Calibri" w:hAnsi="Calibri" w:cs="Calibri"/>
          <w:lang w:val="en-AU"/>
        </w:rPr>
        <w:t xml:space="preserve">The report provided </w:t>
      </w:r>
      <w:r w:rsidR="0038098D" w:rsidRPr="00696353">
        <w:rPr>
          <w:rFonts w:ascii="Calibri" w:hAnsi="Calibri" w:cs="Calibri"/>
          <w:lang w:val="en-AU"/>
        </w:rPr>
        <w:t>a “realistic view” o</w:t>
      </w:r>
      <w:r w:rsidR="006D4618">
        <w:rPr>
          <w:rFonts w:ascii="Calibri" w:hAnsi="Calibri" w:cs="Calibri"/>
          <w:lang w:val="en-AU"/>
        </w:rPr>
        <w:t>f</w:t>
      </w:r>
      <w:r w:rsidR="0038098D" w:rsidRPr="00696353">
        <w:rPr>
          <w:rFonts w:ascii="Calibri" w:hAnsi="Calibri" w:cs="Calibri"/>
          <w:lang w:val="en-AU"/>
        </w:rPr>
        <w:t xml:space="preserve"> </w:t>
      </w:r>
      <w:r w:rsidR="0038098D" w:rsidRPr="00347804">
        <w:rPr>
          <w:rFonts w:ascii="Calibri" w:hAnsi="Calibri" w:cs="Calibri"/>
          <w:lang w:val="en-AU"/>
        </w:rPr>
        <w:t xml:space="preserve">opportunities, </w:t>
      </w:r>
      <w:r w:rsidR="0038098D" w:rsidRPr="00696353">
        <w:rPr>
          <w:rFonts w:ascii="Calibri" w:hAnsi="Calibri" w:cs="Calibri"/>
          <w:lang w:val="en-AU"/>
        </w:rPr>
        <w:t xml:space="preserve">barriers, </w:t>
      </w:r>
      <w:r w:rsidR="0038098D">
        <w:rPr>
          <w:rFonts w:ascii="Calibri" w:hAnsi="Calibri" w:cs="Calibri"/>
          <w:lang w:val="en-AU"/>
        </w:rPr>
        <w:t xml:space="preserve">as well as potential risks, </w:t>
      </w:r>
      <w:r w:rsidR="0038098D" w:rsidRPr="00696353">
        <w:rPr>
          <w:rFonts w:ascii="Calibri" w:hAnsi="Calibri" w:cs="Calibri"/>
          <w:lang w:val="en-AU"/>
        </w:rPr>
        <w:t>benefits</w:t>
      </w:r>
      <w:r w:rsidR="0038098D">
        <w:rPr>
          <w:rFonts w:ascii="Calibri" w:hAnsi="Calibri" w:cs="Calibri"/>
          <w:lang w:val="en-AU"/>
        </w:rPr>
        <w:t xml:space="preserve"> and limitations</w:t>
      </w:r>
      <w:r w:rsidR="0038098D" w:rsidRPr="00696353">
        <w:rPr>
          <w:rFonts w:ascii="Calibri" w:hAnsi="Calibri" w:cs="Calibri"/>
          <w:lang w:val="en-AU"/>
        </w:rPr>
        <w:t>.</w:t>
      </w:r>
      <w:r w:rsidR="0038098D">
        <w:rPr>
          <w:rFonts w:ascii="Calibri" w:hAnsi="Calibri" w:cs="Calibri"/>
          <w:lang w:val="en-AU"/>
        </w:rPr>
        <w:t xml:space="preserve"> </w:t>
      </w:r>
      <w:r w:rsidR="0038098D">
        <w:rPr>
          <w:rFonts w:ascii="Calibri" w:hAnsi="Calibri" w:cs="Calibri"/>
        </w:rPr>
        <w:t xml:space="preserve">It provided an overview </w:t>
      </w:r>
      <w:r w:rsidR="00872E56">
        <w:rPr>
          <w:rFonts w:ascii="Calibri" w:hAnsi="Calibri" w:cs="Calibri"/>
        </w:rPr>
        <w:t xml:space="preserve">on the </w:t>
      </w:r>
      <w:r w:rsidR="0038098D">
        <w:rPr>
          <w:rFonts w:ascii="Calibri" w:hAnsi="Calibri" w:cs="Calibri"/>
        </w:rPr>
        <w:t>suitab</w:t>
      </w:r>
      <w:r w:rsidR="00872E56">
        <w:rPr>
          <w:rFonts w:ascii="Calibri" w:hAnsi="Calibri" w:cs="Calibri"/>
        </w:rPr>
        <w:t>ility</w:t>
      </w:r>
      <w:r w:rsidR="0038098D">
        <w:rPr>
          <w:rFonts w:ascii="Calibri" w:hAnsi="Calibri" w:cs="Calibri"/>
        </w:rPr>
        <w:t>, feasib</w:t>
      </w:r>
      <w:r w:rsidR="00872E56">
        <w:rPr>
          <w:rFonts w:ascii="Calibri" w:hAnsi="Calibri" w:cs="Calibri"/>
        </w:rPr>
        <w:t xml:space="preserve">ility </w:t>
      </w:r>
      <w:r w:rsidR="0038098D">
        <w:rPr>
          <w:rFonts w:ascii="Calibri" w:hAnsi="Calibri" w:cs="Calibri"/>
        </w:rPr>
        <w:t>and economic</w:t>
      </w:r>
      <w:r w:rsidR="00872E56">
        <w:rPr>
          <w:rFonts w:ascii="Calibri" w:hAnsi="Calibri" w:cs="Calibri"/>
        </w:rPr>
        <w:t xml:space="preserve"> viability of </w:t>
      </w:r>
      <w:r w:rsidR="0038098D" w:rsidRPr="00FE0F6C">
        <w:rPr>
          <w:rFonts w:ascii="Calibri" w:hAnsi="Calibri" w:cs="Calibri"/>
        </w:rPr>
        <w:t>various types of EV</w:t>
      </w:r>
      <w:r w:rsidR="0038098D">
        <w:rPr>
          <w:rFonts w:ascii="Calibri" w:hAnsi="Calibri" w:cs="Calibri"/>
        </w:rPr>
        <w:t>s</w:t>
      </w:r>
      <w:r w:rsidR="0038098D" w:rsidRPr="00FE0F6C">
        <w:rPr>
          <w:rFonts w:ascii="Calibri" w:hAnsi="Calibri" w:cs="Calibri"/>
        </w:rPr>
        <w:t xml:space="preserve">, from push e-scooters to heavy trucks, </w:t>
      </w:r>
      <w:r w:rsidR="00872E56">
        <w:rPr>
          <w:rFonts w:ascii="Calibri" w:hAnsi="Calibri" w:cs="Calibri"/>
        </w:rPr>
        <w:t xml:space="preserve">when considered in the </w:t>
      </w:r>
      <w:r w:rsidR="0038098D" w:rsidRPr="00FE0F6C">
        <w:rPr>
          <w:rFonts w:ascii="Calibri" w:hAnsi="Calibri" w:cs="Calibri"/>
        </w:rPr>
        <w:t>PICT environment</w:t>
      </w:r>
      <w:r w:rsidR="0038098D">
        <w:rPr>
          <w:rFonts w:ascii="Calibri" w:hAnsi="Calibri" w:cs="Calibri"/>
        </w:rPr>
        <w:t>. The report found</w:t>
      </w:r>
      <w:r w:rsidR="0038098D" w:rsidRPr="00FE0F6C">
        <w:rPr>
          <w:rFonts w:ascii="Calibri" w:hAnsi="Calibri" w:cs="Calibri"/>
        </w:rPr>
        <w:t xml:space="preserve"> </w:t>
      </w:r>
      <w:r w:rsidR="0038098D">
        <w:rPr>
          <w:rFonts w:ascii="Calibri" w:hAnsi="Calibri" w:cs="Calibri"/>
        </w:rPr>
        <w:t xml:space="preserve">potential </w:t>
      </w:r>
      <w:r w:rsidR="0038098D" w:rsidRPr="00FE0F6C">
        <w:rPr>
          <w:rFonts w:ascii="Calibri" w:hAnsi="Calibri" w:cs="Calibri"/>
        </w:rPr>
        <w:t>for most forms</w:t>
      </w:r>
      <w:r w:rsidR="00872E56">
        <w:rPr>
          <w:rFonts w:ascii="Calibri" w:hAnsi="Calibri" w:cs="Calibri"/>
        </w:rPr>
        <w:t xml:space="preserve"> of EVs</w:t>
      </w:r>
      <w:r w:rsidR="0038098D" w:rsidRPr="00FE0F6C">
        <w:rPr>
          <w:rFonts w:ascii="Calibri" w:hAnsi="Calibri" w:cs="Calibri"/>
        </w:rPr>
        <w:t xml:space="preserve">. </w:t>
      </w:r>
    </w:p>
    <w:bookmarkEnd w:id="18"/>
    <w:p w14:paraId="3AE29308" w14:textId="20A02952" w:rsidR="00394996" w:rsidRDefault="0038098D">
      <w:pPr>
        <w:spacing w:before="120" w:after="120" w:line="216" w:lineRule="auto"/>
        <w:rPr>
          <w:rFonts w:ascii="Calibri" w:hAnsi="Calibri" w:cs="Calibri"/>
        </w:rPr>
      </w:pPr>
      <w:r w:rsidRPr="00FE0F6C">
        <w:rPr>
          <w:rFonts w:ascii="Calibri" w:hAnsi="Calibri" w:cs="Calibri"/>
        </w:rPr>
        <w:t>Consideration was also given to charging EVs and</w:t>
      </w:r>
      <w:r>
        <w:rPr>
          <w:rFonts w:ascii="Calibri" w:hAnsi="Calibri" w:cs="Calibri"/>
        </w:rPr>
        <w:t>, rather than simply treating them as a demand on the local grid, the possibilities for</w:t>
      </w:r>
      <w:r w:rsidRPr="00FE0F6C">
        <w:rPr>
          <w:rFonts w:ascii="Calibri" w:hAnsi="Calibri" w:cs="Calibri"/>
        </w:rPr>
        <w:t xml:space="preserve"> </w:t>
      </w:r>
      <w:r>
        <w:rPr>
          <w:rFonts w:ascii="Calibri" w:hAnsi="Calibri" w:cs="Calibri"/>
        </w:rPr>
        <w:t>integrating them</w:t>
      </w:r>
      <w:r w:rsidRPr="00FE0F6C">
        <w:rPr>
          <w:rFonts w:ascii="Calibri" w:hAnsi="Calibri" w:cs="Calibri"/>
        </w:rPr>
        <w:t xml:space="preserve"> with the supply of electricity by using the capacity of their batteries to support supply</w:t>
      </w:r>
      <w:r>
        <w:rPr>
          <w:rFonts w:ascii="Calibri" w:hAnsi="Calibri" w:cs="Calibri"/>
        </w:rPr>
        <w:t xml:space="preserve"> were explored</w:t>
      </w:r>
      <w:r w:rsidRPr="00FE0F6C">
        <w:rPr>
          <w:rFonts w:ascii="Calibri" w:hAnsi="Calibri" w:cs="Calibri"/>
        </w:rPr>
        <w:t xml:space="preserve">. This work found that </w:t>
      </w:r>
      <w:r w:rsidR="008F18F5">
        <w:rPr>
          <w:rFonts w:ascii="Calibri" w:hAnsi="Calibri" w:cs="Calibri"/>
        </w:rPr>
        <w:t xml:space="preserve">the capability for in-service EVs to support the </w:t>
      </w:r>
      <w:r w:rsidR="00A4651A">
        <w:rPr>
          <w:rFonts w:ascii="Calibri" w:hAnsi="Calibri" w:cs="Calibri"/>
        </w:rPr>
        <w:t xml:space="preserve">supply of electricity </w:t>
      </w:r>
      <w:r w:rsidR="008F18F5">
        <w:rPr>
          <w:rFonts w:ascii="Calibri" w:hAnsi="Calibri" w:cs="Calibri"/>
        </w:rPr>
        <w:t xml:space="preserve">was emerging and this capability was expected to grow, but that </w:t>
      </w:r>
      <w:r w:rsidR="008F18F5" w:rsidRPr="00FE0F6C">
        <w:rPr>
          <w:rFonts w:ascii="Calibri" w:hAnsi="Calibri" w:cs="Calibri"/>
        </w:rPr>
        <w:t xml:space="preserve">there are cheaper </w:t>
      </w:r>
      <w:r w:rsidR="008F18F5">
        <w:rPr>
          <w:rFonts w:ascii="Calibri" w:hAnsi="Calibri" w:cs="Calibri"/>
        </w:rPr>
        <w:t xml:space="preserve">and more convenient </w:t>
      </w:r>
      <w:r w:rsidR="008F18F5" w:rsidRPr="00FE0F6C">
        <w:rPr>
          <w:rFonts w:ascii="Calibri" w:hAnsi="Calibri" w:cs="Calibri"/>
        </w:rPr>
        <w:t xml:space="preserve">options to achieve the same effect. </w:t>
      </w:r>
      <w:r w:rsidR="008F18F5">
        <w:rPr>
          <w:rFonts w:ascii="Calibri" w:hAnsi="Calibri" w:cs="Calibri"/>
        </w:rPr>
        <w:t xml:space="preserve">However, significant benefit is expected </w:t>
      </w:r>
      <w:r w:rsidR="00895E57">
        <w:rPr>
          <w:rFonts w:ascii="Calibri" w:hAnsi="Calibri" w:cs="Calibri"/>
        </w:rPr>
        <w:t>from</w:t>
      </w:r>
      <w:r w:rsidR="008F18F5">
        <w:rPr>
          <w:rFonts w:ascii="Calibri" w:hAnsi="Calibri" w:cs="Calibri"/>
        </w:rPr>
        <w:t xml:space="preserve"> man</w:t>
      </w:r>
      <w:r w:rsidR="00895E57">
        <w:rPr>
          <w:rFonts w:ascii="Calibri" w:hAnsi="Calibri" w:cs="Calibri"/>
        </w:rPr>
        <w:t>a</w:t>
      </w:r>
      <w:r w:rsidR="008F18F5">
        <w:rPr>
          <w:rFonts w:ascii="Calibri" w:hAnsi="Calibri" w:cs="Calibri"/>
        </w:rPr>
        <w:t xml:space="preserve">ging the charging of EVs </w:t>
      </w:r>
      <w:r w:rsidR="00895E57">
        <w:rPr>
          <w:rFonts w:ascii="Calibri" w:hAnsi="Calibri" w:cs="Calibri"/>
        </w:rPr>
        <w:t xml:space="preserve">in coordination </w:t>
      </w:r>
      <w:r w:rsidR="008F18F5">
        <w:rPr>
          <w:rFonts w:ascii="Calibri" w:hAnsi="Calibri" w:cs="Calibri"/>
        </w:rPr>
        <w:t>with the supply of electricity</w:t>
      </w:r>
      <w:r w:rsidR="00895E57">
        <w:rPr>
          <w:rFonts w:ascii="Calibri" w:hAnsi="Calibri" w:cs="Calibri"/>
        </w:rPr>
        <w:t>, rather than EV charging presenting itself as an uncontrolled demand.</w:t>
      </w:r>
      <w:r w:rsidR="004B1A23">
        <w:rPr>
          <w:rFonts w:ascii="Calibri" w:hAnsi="Calibri" w:cs="Calibri"/>
        </w:rPr>
        <w:t xml:space="preserve"> </w:t>
      </w:r>
    </w:p>
    <w:p w14:paraId="54531E1D" w14:textId="1DC82C8A" w:rsidR="0038098D" w:rsidRPr="00181092" w:rsidRDefault="00D65FC4" w:rsidP="00181092">
      <w:pPr>
        <w:spacing w:before="120" w:after="120" w:line="216" w:lineRule="auto"/>
        <w:rPr>
          <w:rFonts w:ascii="Calibri" w:hAnsi="Calibri" w:cs="Calibri"/>
          <w:lang w:val="en-AU"/>
        </w:rPr>
      </w:pPr>
      <w:bookmarkStart w:id="19" w:name="_Hlk36840168"/>
      <w:r>
        <w:rPr>
          <w:rFonts w:ascii="Calibri" w:hAnsi="Calibri" w:cs="Calibri"/>
        </w:rPr>
        <w:t xml:space="preserve">The main findings </w:t>
      </w:r>
      <w:r w:rsidR="00394996">
        <w:rPr>
          <w:rFonts w:ascii="Calibri" w:hAnsi="Calibri" w:cs="Calibri"/>
        </w:rPr>
        <w:t xml:space="preserve">of the technical report </w:t>
      </w:r>
      <w:r>
        <w:rPr>
          <w:rFonts w:ascii="Calibri" w:hAnsi="Calibri" w:cs="Calibri"/>
        </w:rPr>
        <w:t>can be summarised as follows:</w:t>
      </w:r>
    </w:p>
    <w:p w14:paraId="72150DB5" w14:textId="3B5E0362" w:rsidR="00AF300A" w:rsidRPr="002F47F6" w:rsidRDefault="00AF300A" w:rsidP="00AF300A">
      <w:pPr>
        <w:pStyle w:val="ListParagraph"/>
        <w:numPr>
          <w:ilvl w:val="0"/>
          <w:numId w:val="23"/>
        </w:numPr>
        <w:spacing w:after="120" w:line="216" w:lineRule="auto"/>
      </w:pPr>
      <w:r w:rsidRPr="002F47F6">
        <w:t>There are large differences across and within PICTs with respect to urbanisation, relative wealth, road infrastructure, the vehicle fleet, electricity and fuel markets, and accessibility to main island markets. Such diversity not only makes it difficult to generalise across PICT contexts, but also near-impossible to prescribe one-size-fits-all solution</w:t>
      </w:r>
      <w:r w:rsidR="00263DCB" w:rsidRPr="002F47F6">
        <w:t>s.</w:t>
      </w:r>
    </w:p>
    <w:p w14:paraId="2CBBD73C" w14:textId="77777777" w:rsidR="00202C70" w:rsidRPr="002F47F6" w:rsidRDefault="00202C70" w:rsidP="00AF300A">
      <w:pPr>
        <w:pStyle w:val="ListParagraph"/>
        <w:numPr>
          <w:ilvl w:val="0"/>
          <w:numId w:val="23"/>
        </w:numPr>
        <w:spacing w:after="120" w:line="216" w:lineRule="auto"/>
      </w:pPr>
      <w:r w:rsidRPr="002F47F6">
        <w:t xml:space="preserve">The availability of advanced battery technologies has presented the market with </w:t>
      </w:r>
      <w:r w:rsidR="001808B6" w:rsidRPr="002F47F6">
        <w:t xml:space="preserve">many </w:t>
      </w:r>
      <w:r w:rsidRPr="002F47F6">
        <w:t>electric vehicle options, from electric push scooters to large trucks:</w:t>
      </w:r>
    </w:p>
    <w:p w14:paraId="3D3CE3A7" w14:textId="77777777" w:rsidR="009863FC" w:rsidRPr="002F47F6" w:rsidRDefault="009863FC" w:rsidP="002F47F6">
      <w:pPr>
        <w:pStyle w:val="ListParagraph"/>
        <w:numPr>
          <w:ilvl w:val="1"/>
          <w:numId w:val="23"/>
        </w:numPr>
        <w:spacing w:after="120" w:line="216" w:lineRule="auto"/>
        <w:ind w:left="1134"/>
      </w:pPr>
      <w:r w:rsidRPr="002F47F6">
        <w:t>Larger-sized e</w:t>
      </w:r>
      <w:r w:rsidR="00FF7E00" w:rsidRPr="002F47F6">
        <w:t xml:space="preserve">lectric </w:t>
      </w:r>
      <w:r w:rsidR="00FF7E00" w:rsidRPr="002F47F6">
        <w:rPr>
          <w:b/>
          <w:bCs/>
        </w:rPr>
        <w:t>push-scooters</w:t>
      </w:r>
      <w:r w:rsidR="00FF7E00" w:rsidRPr="002F47F6">
        <w:t xml:space="preserve"> are</w:t>
      </w:r>
      <w:r w:rsidRPr="002F47F6">
        <w:t xml:space="preserve"> featuring in daily personal mobility in large cities around the world. They</w:t>
      </w:r>
      <w:r w:rsidR="00C931A8" w:rsidRPr="002F47F6">
        <w:t xml:space="preserve"> have also been introduced to PICTs </w:t>
      </w:r>
      <w:r w:rsidR="001808B6" w:rsidRPr="002F47F6">
        <w:t>where they are used</w:t>
      </w:r>
      <w:r w:rsidR="00C931A8" w:rsidRPr="002F47F6">
        <w:t xml:space="preserve">, for example, </w:t>
      </w:r>
      <w:r w:rsidRPr="002F47F6">
        <w:t xml:space="preserve">by tourists. </w:t>
      </w:r>
      <w:r w:rsidR="00125000" w:rsidRPr="002F47F6">
        <w:t>This provides an example of where</w:t>
      </w:r>
      <w:r w:rsidRPr="002F47F6">
        <w:t xml:space="preserve"> new mobility options can appear </w:t>
      </w:r>
      <w:r w:rsidR="001808B6" w:rsidRPr="002F47F6">
        <w:t xml:space="preserve">almost </w:t>
      </w:r>
      <w:proofErr w:type="gramStart"/>
      <w:r w:rsidRPr="002F47F6">
        <w:t>overnight, and</w:t>
      </w:r>
      <w:proofErr w:type="gramEnd"/>
      <w:r w:rsidRPr="002F47F6">
        <w:t xml:space="preserve"> </w:t>
      </w:r>
      <w:r w:rsidR="00125000" w:rsidRPr="002F47F6">
        <w:t xml:space="preserve">illustrates the need for </w:t>
      </w:r>
      <w:r w:rsidRPr="002F47F6">
        <w:t xml:space="preserve">policy </w:t>
      </w:r>
      <w:r w:rsidR="00125000" w:rsidRPr="002F47F6">
        <w:t xml:space="preserve">to </w:t>
      </w:r>
      <w:r w:rsidRPr="002F47F6">
        <w:t xml:space="preserve">be nimble to </w:t>
      </w:r>
      <w:r w:rsidR="001808B6" w:rsidRPr="002F47F6">
        <w:t>keep up</w:t>
      </w:r>
      <w:r w:rsidRPr="002F47F6">
        <w:t xml:space="preserve"> with new technology.  </w:t>
      </w:r>
    </w:p>
    <w:p w14:paraId="63F642C0" w14:textId="77777777" w:rsidR="00F10EB4" w:rsidRPr="002F47F6" w:rsidRDefault="00202C70" w:rsidP="002F47F6">
      <w:pPr>
        <w:pStyle w:val="ListParagraph"/>
        <w:numPr>
          <w:ilvl w:val="1"/>
          <w:numId w:val="23"/>
        </w:numPr>
        <w:spacing w:after="120" w:line="216" w:lineRule="auto"/>
        <w:ind w:left="1134"/>
      </w:pPr>
      <w:r w:rsidRPr="002F47F6">
        <w:rPr>
          <w:b/>
          <w:bCs/>
        </w:rPr>
        <w:t>E-bikes</w:t>
      </w:r>
      <w:r w:rsidRPr="002F47F6">
        <w:t xml:space="preserve"> may offer a new mobility solution </w:t>
      </w:r>
      <w:r w:rsidR="001808B6" w:rsidRPr="002F47F6">
        <w:t xml:space="preserve">for </w:t>
      </w:r>
      <w:r w:rsidRPr="002F47F6">
        <w:t xml:space="preserve">PICTs. There is already </w:t>
      </w:r>
      <w:r w:rsidR="00125000" w:rsidRPr="002F47F6">
        <w:t>some</w:t>
      </w:r>
      <w:r w:rsidR="00D81A31" w:rsidRPr="002F47F6">
        <w:t xml:space="preserve"> </w:t>
      </w:r>
      <w:r w:rsidRPr="002F47F6">
        <w:t>take</w:t>
      </w:r>
      <w:r w:rsidR="001808B6" w:rsidRPr="002F47F6">
        <w:t>-</w:t>
      </w:r>
      <w:r w:rsidRPr="002F47F6">
        <w:t xml:space="preserve">up </w:t>
      </w:r>
      <w:r w:rsidR="00D81A31" w:rsidRPr="002F47F6">
        <w:t xml:space="preserve">in </w:t>
      </w:r>
      <w:r w:rsidRPr="002F47F6">
        <w:t xml:space="preserve">the </w:t>
      </w:r>
      <w:r w:rsidR="0026457C" w:rsidRPr="002F47F6">
        <w:t xml:space="preserve">PICT </w:t>
      </w:r>
      <w:r w:rsidRPr="002F47F6">
        <w:t>touris</w:t>
      </w:r>
      <w:r w:rsidR="0026457C" w:rsidRPr="002F47F6">
        <w:t>m</w:t>
      </w:r>
      <w:r w:rsidRPr="002F47F6">
        <w:t xml:space="preserve"> sector</w:t>
      </w:r>
      <w:r w:rsidR="00F10EB4" w:rsidRPr="002F47F6">
        <w:t xml:space="preserve">. Their low voltage and simplicity </w:t>
      </w:r>
      <w:r w:rsidR="00D81A31" w:rsidRPr="002F47F6">
        <w:t>might make them suitable for</w:t>
      </w:r>
      <w:r w:rsidR="00F10EB4" w:rsidRPr="002F47F6">
        <w:t xml:space="preserve"> use in remote locations.</w:t>
      </w:r>
    </w:p>
    <w:p w14:paraId="796BABB8" w14:textId="3AF6B2F4" w:rsidR="007170B8" w:rsidRPr="002F47F6" w:rsidRDefault="00F10EB4" w:rsidP="002F47F6">
      <w:pPr>
        <w:pStyle w:val="ListParagraph"/>
        <w:numPr>
          <w:ilvl w:val="1"/>
          <w:numId w:val="23"/>
        </w:numPr>
        <w:spacing w:after="120" w:line="216" w:lineRule="auto"/>
        <w:ind w:left="1134"/>
      </w:pPr>
      <w:r w:rsidRPr="002F47F6">
        <w:rPr>
          <w:b/>
          <w:bCs/>
        </w:rPr>
        <w:t>e-Two-wheelers</w:t>
      </w:r>
      <w:r w:rsidR="007170B8" w:rsidRPr="002F47F6">
        <w:t xml:space="preserve"> that compete with petrol-fuelled two-wheeler</w:t>
      </w:r>
      <w:r w:rsidR="00895E57">
        <w:t xml:space="preserve"> motorbikes</w:t>
      </w:r>
      <w:r w:rsidR="007170B8" w:rsidRPr="002F47F6">
        <w:t xml:space="preserve"> on price and quality</w:t>
      </w:r>
      <w:r w:rsidRPr="002F47F6">
        <w:t xml:space="preserve"> </w:t>
      </w:r>
      <w:r w:rsidR="007170B8" w:rsidRPr="002F47F6">
        <w:t xml:space="preserve">have only </w:t>
      </w:r>
      <w:r w:rsidR="0026457C" w:rsidRPr="002F47F6">
        <w:t xml:space="preserve">recently </w:t>
      </w:r>
      <w:r w:rsidR="007170B8" w:rsidRPr="002F47F6">
        <w:t xml:space="preserve">emerged in the global market. There are many </w:t>
      </w:r>
      <w:r w:rsidR="00D81A31" w:rsidRPr="002F47F6">
        <w:t>ways in which</w:t>
      </w:r>
      <w:r w:rsidR="007170B8" w:rsidRPr="002F47F6">
        <w:t xml:space="preserve"> these could provide new, affordable mobility. They could also replace their petrol-fuel</w:t>
      </w:r>
      <w:r w:rsidR="00125000" w:rsidRPr="002F47F6">
        <w:t>l</w:t>
      </w:r>
      <w:r w:rsidR="007170B8" w:rsidRPr="002F47F6">
        <w:t xml:space="preserve">ed counterparts. </w:t>
      </w:r>
      <w:r w:rsidR="00D81A31" w:rsidRPr="002F47F6">
        <w:t>In many parts of the world, where</w:t>
      </w:r>
      <w:r w:rsidR="0026457C" w:rsidRPr="002F47F6">
        <w:t xml:space="preserve"> </w:t>
      </w:r>
      <w:r w:rsidR="007170B8" w:rsidRPr="002F47F6">
        <w:t xml:space="preserve">two-wheelers </w:t>
      </w:r>
      <w:r w:rsidR="00D81A31" w:rsidRPr="002F47F6">
        <w:t>are ‘</w:t>
      </w:r>
      <w:r w:rsidR="007170B8" w:rsidRPr="002F47F6">
        <w:t>the people’s car</w:t>
      </w:r>
      <w:r w:rsidR="00D81A31" w:rsidRPr="002F47F6">
        <w:t>’, electrification has become a major focus</w:t>
      </w:r>
      <w:r w:rsidR="00125000" w:rsidRPr="002F47F6">
        <w:t xml:space="preserve"> by governments</w:t>
      </w:r>
      <w:r w:rsidR="007170B8" w:rsidRPr="002F47F6">
        <w:t>.</w:t>
      </w:r>
    </w:p>
    <w:p w14:paraId="32A7A83B" w14:textId="77777777" w:rsidR="005E437F" w:rsidRPr="002F47F6" w:rsidRDefault="00A234F1" w:rsidP="002F47F6">
      <w:pPr>
        <w:pStyle w:val="ListParagraph"/>
        <w:numPr>
          <w:ilvl w:val="1"/>
          <w:numId w:val="23"/>
        </w:numPr>
        <w:spacing w:after="120" w:line="216" w:lineRule="auto"/>
        <w:ind w:left="1134"/>
      </w:pPr>
      <w:r w:rsidRPr="002F47F6">
        <w:rPr>
          <w:b/>
          <w:bCs/>
        </w:rPr>
        <w:t>Motorised t</w:t>
      </w:r>
      <w:r w:rsidR="009863FC" w:rsidRPr="002F47F6">
        <w:rPr>
          <w:b/>
          <w:bCs/>
        </w:rPr>
        <w:t>ricycles</w:t>
      </w:r>
      <w:r w:rsidR="009863FC" w:rsidRPr="002F47F6">
        <w:t xml:space="preserve"> </w:t>
      </w:r>
      <w:r w:rsidR="00D81A31" w:rsidRPr="002F47F6">
        <w:t>are the</w:t>
      </w:r>
      <w:r w:rsidRPr="002F47F6">
        <w:t xml:space="preserve"> backbone of transport services </w:t>
      </w:r>
      <w:r w:rsidR="00D81A31" w:rsidRPr="002F47F6">
        <w:t xml:space="preserve">in </w:t>
      </w:r>
      <w:r w:rsidRPr="002F47F6">
        <w:t xml:space="preserve">many Asian countries and e-trikes </w:t>
      </w:r>
      <w:r w:rsidR="00D81A31" w:rsidRPr="002F47F6">
        <w:t xml:space="preserve">have been deployed in several </w:t>
      </w:r>
      <w:proofErr w:type="gramStart"/>
      <w:r w:rsidR="005E437F" w:rsidRPr="002F47F6">
        <w:t>in an attempt to</w:t>
      </w:r>
      <w:proofErr w:type="gramEnd"/>
      <w:r w:rsidR="005E437F" w:rsidRPr="002F47F6">
        <w:t xml:space="preserve"> </w:t>
      </w:r>
      <w:r w:rsidR="00305897" w:rsidRPr="002F47F6">
        <w:t xml:space="preserve">begin the electrification of this </w:t>
      </w:r>
      <w:r w:rsidR="005E437F" w:rsidRPr="002F47F6">
        <w:t xml:space="preserve">market. </w:t>
      </w:r>
      <w:r w:rsidR="00D81A31" w:rsidRPr="002F47F6">
        <w:t xml:space="preserve">By contrast, </w:t>
      </w:r>
      <w:r w:rsidR="0026457C" w:rsidRPr="002F47F6">
        <w:t>petroleum-fuel</w:t>
      </w:r>
      <w:r w:rsidR="00125000" w:rsidRPr="002F47F6">
        <w:t>l</w:t>
      </w:r>
      <w:r w:rsidR="0026457C" w:rsidRPr="002F47F6">
        <w:t>ed</w:t>
      </w:r>
      <w:r w:rsidR="00D81A31" w:rsidRPr="002F47F6">
        <w:t>,</w:t>
      </w:r>
      <w:r w:rsidR="0026457C" w:rsidRPr="002F47F6">
        <w:t xml:space="preserve"> </w:t>
      </w:r>
      <w:r w:rsidR="005E437F" w:rsidRPr="002F47F6">
        <w:t>m</w:t>
      </w:r>
      <w:r w:rsidRPr="002F47F6">
        <w:t>otori</w:t>
      </w:r>
      <w:r w:rsidR="00D81A31" w:rsidRPr="002F47F6">
        <w:t>z</w:t>
      </w:r>
      <w:r w:rsidRPr="002F47F6">
        <w:t>ed tricycles hardly feature in the PICTs</w:t>
      </w:r>
      <w:r w:rsidR="00D81A31" w:rsidRPr="002F47F6">
        <w:t>,</w:t>
      </w:r>
      <w:r w:rsidRPr="002F47F6">
        <w:t xml:space="preserve"> </w:t>
      </w:r>
      <w:r w:rsidR="005E437F" w:rsidRPr="002F47F6">
        <w:t xml:space="preserve">which </w:t>
      </w:r>
      <w:r w:rsidR="0026457C" w:rsidRPr="002F47F6">
        <w:t xml:space="preserve">stands to </w:t>
      </w:r>
      <w:r w:rsidR="005E437F" w:rsidRPr="002F47F6">
        <w:t>make the up</w:t>
      </w:r>
      <w:r w:rsidR="00305897" w:rsidRPr="002F47F6">
        <w:t>t</w:t>
      </w:r>
      <w:r w:rsidR="005E437F" w:rsidRPr="002F47F6">
        <w:t>a</w:t>
      </w:r>
      <w:r w:rsidR="00305897" w:rsidRPr="002F47F6">
        <w:t>ke</w:t>
      </w:r>
      <w:r w:rsidR="005E437F" w:rsidRPr="002F47F6">
        <w:t xml:space="preserve"> of e-trikes difficult.</w:t>
      </w:r>
    </w:p>
    <w:p w14:paraId="64EDB8F9" w14:textId="3D425859" w:rsidR="006D3D16" w:rsidRPr="002F47F6" w:rsidRDefault="00D81A31" w:rsidP="002F47F6">
      <w:pPr>
        <w:pStyle w:val="ListParagraph"/>
        <w:numPr>
          <w:ilvl w:val="1"/>
          <w:numId w:val="23"/>
        </w:numPr>
        <w:spacing w:after="120" w:line="216" w:lineRule="auto"/>
        <w:ind w:left="1134"/>
      </w:pPr>
      <w:r w:rsidRPr="002F47F6">
        <w:t xml:space="preserve">Apart from the e-buses that have </w:t>
      </w:r>
      <w:r w:rsidR="00125000" w:rsidRPr="002F47F6">
        <w:t xml:space="preserve">recently </w:t>
      </w:r>
      <w:r w:rsidRPr="002F47F6">
        <w:t>become common in</w:t>
      </w:r>
      <w:r w:rsidR="006D3D16" w:rsidRPr="002F47F6">
        <w:t xml:space="preserve"> China, most EV programmes around the world have </w:t>
      </w:r>
      <w:r w:rsidR="006E7AD2" w:rsidRPr="002F47F6">
        <w:t xml:space="preserve">largely concentrated on </w:t>
      </w:r>
      <w:r w:rsidR="006D3D16" w:rsidRPr="002F47F6">
        <w:t xml:space="preserve">the uptake of </w:t>
      </w:r>
      <w:r w:rsidR="006D3D16" w:rsidRPr="002F47F6">
        <w:rPr>
          <w:b/>
          <w:bCs/>
        </w:rPr>
        <w:t xml:space="preserve">electric </w:t>
      </w:r>
      <w:r w:rsidR="006D3D16" w:rsidRPr="002F47F6">
        <w:rPr>
          <w:b/>
          <w:bCs/>
        </w:rPr>
        <w:lastRenderedPageBreak/>
        <w:t>passenger cars</w:t>
      </w:r>
      <w:r w:rsidR="006D3D16" w:rsidRPr="002F47F6">
        <w:t xml:space="preserve">. The technologies involved are now well developed and EV passenger cars are normal in many countries. However, they are still very new to PICTs and </w:t>
      </w:r>
      <w:r w:rsidRPr="002F47F6">
        <w:t xml:space="preserve">lack of </w:t>
      </w:r>
      <w:r w:rsidR="006D3D16" w:rsidRPr="002F47F6">
        <w:t xml:space="preserve">awareness is still a major obstacle </w:t>
      </w:r>
      <w:r w:rsidR="003F31CB" w:rsidRPr="002F47F6">
        <w:t xml:space="preserve">to </w:t>
      </w:r>
      <w:r w:rsidR="006D3D16" w:rsidRPr="002F47F6">
        <w:t xml:space="preserve">their uptake. </w:t>
      </w:r>
      <w:r w:rsidR="003F31CB" w:rsidRPr="002F47F6">
        <w:t>What’s more,</w:t>
      </w:r>
      <w:r w:rsidR="006D3D16" w:rsidRPr="002F47F6">
        <w:t xml:space="preserve"> private cars travel relatively small distances each year </w:t>
      </w:r>
      <w:r w:rsidR="003F31CB" w:rsidRPr="002F47F6">
        <w:t>in PICTs</w:t>
      </w:r>
      <w:r w:rsidR="00125000" w:rsidRPr="002F47F6">
        <w:t xml:space="preserve">, </w:t>
      </w:r>
      <w:r w:rsidR="006D3D16" w:rsidRPr="002F47F6">
        <w:t xml:space="preserve">which </w:t>
      </w:r>
      <w:r w:rsidR="003F31CB" w:rsidRPr="002F47F6">
        <w:t xml:space="preserve">means that EVs, which </w:t>
      </w:r>
      <w:r w:rsidR="00895E57">
        <w:t xml:space="preserve">currently </w:t>
      </w:r>
      <w:r w:rsidR="003F31CB" w:rsidRPr="002F47F6">
        <w:t xml:space="preserve">cost more to purchase </w:t>
      </w:r>
      <w:r w:rsidR="00125000" w:rsidRPr="002F47F6">
        <w:t xml:space="preserve">and depend upon savings from use to </w:t>
      </w:r>
      <w:r w:rsidR="00D611E9" w:rsidRPr="002F47F6">
        <w:t xml:space="preserve">recompense </w:t>
      </w:r>
      <w:r w:rsidR="00125000" w:rsidRPr="002F47F6">
        <w:t>this</w:t>
      </w:r>
      <w:r w:rsidR="00D611E9" w:rsidRPr="002F47F6">
        <w:t xml:space="preserve">, </w:t>
      </w:r>
      <w:r w:rsidR="003F31CB" w:rsidRPr="002F47F6">
        <w:t>are relatively unattractive</w:t>
      </w:r>
      <w:r w:rsidR="006D3D16" w:rsidRPr="002F47F6">
        <w:t>. Use for taxi and ride-hail vehicles offers a far better proposition.</w:t>
      </w:r>
    </w:p>
    <w:p w14:paraId="0EDE049F" w14:textId="0C8BA8A0" w:rsidR="00B84126" w:rsidRPr="002F47F6" w:rsidRDefault="006E7AD2" w:rsidP="002F47F6">
      <w:pPr>
        <w:pStyle w:val="ListParagraph"/>
        <w:numPr>
          <w:ilvl w:val="1"/>
          <w:numId w:val="23"/>
        </w:numPr>
        <w:spacing w:after="120" w:line="216" w:lineRule="auto"/>
        <w:ind w:left="1134"/>
      </w:pPr>
      <w:r w:rsidRPr="002F47F6">
        <w:t>Globally,</w:t>
      </w:r>
      <w:r w:rsidR="003F31CB" w:rsidRPr="002F47F6">
        <w:t xml:space="preserve"> the technology </w:t>
      </w:r>
      <w:r w:rsidR="00895E57">
        <w:t>supporting</w:t>
      </w:r>
      <w:r w:rsidR="00895E57" w:rsidRPr="002F47F6">
        <w:t xml:space="preserve"> </w:t>
      </w:r>
      <w:r w:rsidRPr="002F47F6">
        <w:rPr>
          <w:b/>
          <w:bCs/>
        </w:rPr>
        <w:t>electric trucks</w:t>
      </w:r>
      <w:r w:rsidRPr="002F47F6">
        <w:t xml:space="preserve"> </w:t>
      </w:r>
      <w:r w:rsidR="003F31CB" w:rsidRPr="002F47F6">
        <w:t>is still</w:t>
      </w:r>
      <w:r w:rsidRPr="002F47F6">
        <w:t xml:space="preserve"> emerging, but </w:t>
      </w:r>
      <w:r w:rsidR="003F31CB" w:rsidRPr="002F47F6">
        <w:t>the electrification of this sector is worth considering</w:t>
      </w:r>
      <w:r w:rsidR="00D611E9" w:rsidRPr="002F47F6">
        <w:t xml:space="preserve"> as the technology matures</w:t>
      </w:r>
      <w:r w:rsidR="003F31CB" w:rsidRPr="002F47F6">
        <w:t>, as although</w:t>
      </w:r>
      <w:r w:rsidR="003F31CB" w:rsidRPr="002F47F6" w:rsidDel="003F31CB">
        <w:t xml:space="preserve"> </w:t>
      </w:r>
      <w:r w:rsidR="003F31CB" w:rsidRPr="002F47F6">
        <w:t>trucks are a</w:t>
      </w:r>
      <w:r w:rsidRPr="002F47F6">
        <w:t xml:space="preserve"> small proportion of the fleet</w:t>
      </w:r>
      <w:r w:rsidR="003F31CB" w:rsidRPr="002F47F6">
        <w:t xml:space="preserve">, they consume a large amount of fuel. The upfront cost of electric trucks is currently very high, but it is expected to become more manageable as the market sees the expected fall in the price of batteries. </w:t>
      </w:r>
      <w:r w:rsidRPr="002F47F6">
        <w:t xml:space="preserve">However, </w:t>
      </w:r>
      <w:r w:rsidR="00B84126" w:rsidRPr="002F47F6">
        <w:t>g</w:t>
      </w:r>
      <w:r w:rsidRPr="002F47F6">
        <w:t xml:space="preserve">etting local technical support would </w:t>
      </w:r>
      <w:r w:rsidR="00B84126" w:rsidRPr="002F47F6">
        <w:t xml:space="preserve">also </w:t>
      </w:r>
      <w:r w:rsidRPr="002F47F6">
        <w:t>be a</w:t>
      </w:r>
      <w:r w:rsidR="00B84126" w:rsidRPr="002F47F6">
        <w:t xml:space="preserve"> </w:t>
      </w:r>
      <w:r w:rsidRPr="002F47F6">
        <w:t xml:space="preserve">significant barrier to their uptake in the PICTs. </w:t>
      </w:r>
    </w:p>
    <w:p w14:paraId="76640B45" w14:textId="77777777" w:rsidR="00305897" w:rsidRPr="002F47F6" w:rsidRDefault="00B84126" w:rsidP="002F47F6">
      <w:pPr>
        <w:pStyle w:val="ListParagraph"/>
        <w:numPr>
          <w:ilvl w:val="1"/>
          <w:numId w:val="23"/>
        </w:numPr>
        <w:spacing w:after="120" w:line="216" w:lineRule="auto"/>
        <w:ind w:left="1134"/>
      </w:pPr>
      <w:r w:rsidRPr="002F47F6">
        <w:rPr>
          <w:b/>
          <w:bCs/>
        </w:rPr>
        <w:t>Electric bus</w:t>
      </w:r>
      <w:r w:rsidRPr="002F47F6">
        <w:t xml:space="preserve"> technology is more advanced than for trucks due to the impetus provided by the Chinese market. </w:t>
      </w:r>
      <w:r w:rsidR="003F31CB" w:rsidRPr="002F47F6">
        <w:t>Th</w:t>
      </w:r>
      <w:r w:rsidR="00D611E9" w:rsidRPr="002F47F6">
        <w:t>e</w:t>
      </w:r>
      <w:r w:rsidR="003F31CB" w:rsidRPr="002F47F6">
        <w:t xml:space="preserve"> availability of u</w:t>
      </w:r>
      <w:r w:rsidRPr="002F47F6">
        <w:t xml:space="preserve">ltra-fast charging </w:t>
      </w:r>
      <w:r w:rsidR="003F31CB" w:rsidRPr="002F47F6">
        <w:t xml:space="preserve">means that </w:t>
      </w:r>
      <w:r w:rsidR="00BE583E" w:rsidRPr="002F47F6">
        <w:t xml:space="preserve">individual buses can get away with smaller </w:t>
      </w:r>
      <w:r w:rsidRPr="002F47F6">
        <w:t>onboard batter</w:t>
      </w:r>
      <w:r w:rsidR="00BE583E" w:rsidRPr="002F47F6">
        <w:t>ies</w:t>
      </w:r>
      <w:r w:rsidRPr="002F47F6">
        <w:t xml:space="preserve">, </w:t>
      </w:r>
      <w:r w:rsidR="00BE583E" w:rsidRPr="002F47F6">
        <w:t xml:space="preserve">which means </w:t>
      </w:r>
      <w:r w:rsidRPr="002F47F6">
        <w:t>project</w:t>
      </w:r>
      <w:r w:rsidR="00305897" w:rsidRPr="002F47F6">
        <w:t>s</w:t>
      </w:r>
      <w:r w:rsidR="00BE583E" w:rsidRPr="002F47F6">
        <w:t xml:space="preserve"> involving multiple buses are less expensive</w:t>
      </w:r>
      <w:r w:rsidRPr="002F47F6">
        <w:t xml:space="preserve">. </w:t>
      </w:r>
      <w:r w:rsidR="00305897" w:rsidRPr="002F47F6">
        <w:t>Projects involving small numbers of buses are costly on a per-bus basis for several reasons</w:t>
      </w:r>
      <w:r w:rsidR="00BE583E" w:rsidRPr="002F47F6">
        <w:t>, which means</w:t>
      </w:r>
      <w:r w:rsidR="00305897" w:rsidRPr="002F47F6">
        <w:t xml:space="preserve"> this technology </w:t>
      </w:r>
      <w:r w:rsidR="00BE583E" w:rsidRPr="002F47F6">
        <w:t>would only be</w:t>
      </w:r>
      <w:r w:rsidR="00305897" w:rsidRPr="002F47F6">
        <w:t xml:space="preserve"> viable for the largest of cities in the PICTs</w:t>
      </w:r>
      <w:r w:rsidR="00BE583E" w:rsidRPr="002F47F6">
        <w:t>. E</w:t>
      </w:r>
      <w:r w:rsidR="00305897" w:rsidRPr="002F47F6">
        <w:t>ven then</w:t>
      </w:r>
      <w:r w:rsidR="00066F24" w:rsidRPr="002F47F6">
        <w:t>,</w:t>
      </w:r>
      <w:r w:rsidR="00305897" w:rsidRPr="002F47F6">
        <w:t xml:space="preserve"> </w:t>
      </w:r>
      <w:r w:rsidR="00BE583E" w:rsidRPr="002F47F6">
        <w:t xml:space="preserve">any such </w:t>
      </w:r>
      <w:r w:rsidR="00305897" w:rsidRPr="002F47F6">
        <w:t xml:space="preserve">project </w:t>
      </w:r>
      <w:r w:rsidR="00BE583E" w:rsidRPr="002F47F6">
        <w:t xml:space="preserve">would </w:t>
      </w:r>
      <w:r w:rsidR="00305897" w:rsidRPr="002F47F6">
        <w:t xml:space="preserve">need to </w:t>
      </w:r>
      <w:r w:rsidR="0026457C" w:rsidRPr="002F47F6">
        <w:t xml:space="preserve">be heavily subsidised in </w:t>
      </w:r>
      <w:r w:rsidR="00BE583E" w:rsidRPr="002F47F6">
        <w:t xml:space="preserve">its </w:t>
      </w:r>
      <w:r w:rsidR="0026457C" w:rsidRPr="002F47F6">
        <w:t>early years</w:t>
      </w:r>
      <w:r w:rsidR="00305897" w:rsidRPr="002F47F6">
        <w:t>.</w:t>
      </w:r>
    </w:p>
    <w:p w14:paraId="6D305D5E" w14:textId="24F2FCF9" w:rsidR="00AB6BCB" w:rsidRDefault="00305897" w:rsidP="00181092">
      <w:pPr>
        <w:pStyle w:val="ListParagraph"/>
        <w:numPr>
          <w:ilvl w:val="1"/>
          <w:numId w:val="23"/>
        </w:numPr>
        <w:spacing w:after="120" w:line="216" w:lineRule="auto"/>
        <w:ind w:left="1134"/>
      </w:pPr>
      <w:r w:rsidRPr="002F47F6">
        <w:t xml:space="preserve">The electrification of </w:t>
      </w:r>
      <w:r w:rsidRPr="002F47F6">
        <w:rPr>
          <w:b/>
          <w:bCs/>
        </w:rPr>
        <w:t>marine vessels</w:t>
      </w:r>
      <w:r w:rsidRPr="002F47F6">
        <w:t xml:space="preserve"> </w:t>
      </w:r>
      <w:r w:rsidR="00895E57">
        <w:t>does not appear</w:t>
      </w:r>
      <w:r w:rsidRPr="002F47F6">
        <w:t xml:space="preserve"> financially attractive apart from </w:t>
      </w:r>
      <w:r w:rsidR="006332E5" w:rsidRPr="002F47F6">
        <w:t>small, slow</w:t>
      </w:r>
      <w:r w:rsidR="00DD53E4" w:rsidRPr="002F47F6">
        <w:t>-</w:t>
      </w:r>
      <w:r w:rsidR="006332E5" w:rsidRPr="002F47F6">
        <w:t>speed vessels operat</w:t>
      </w:r>
      <w:r w:rsidR="00DD53E4" w:rsidRPr="002F47F6">
        <w:t>ing</w:t>
      </w:r>
      <w:r w:rsidR="006332E5" w:rsidRPr="002F47F6">
        <w:t xml:space="preserve"> in close, inshore waters. </w:t>
      </w:r>
      <w:r w:rsidR="00DD53E4" w:rsidRPr="002F47F6">
        <w:t>T</w:t>
      </w:r>
      <w:r w:rsidR="006332E5" w:rsidRPr="002F47F6">
        <w:t>here is</w:t>
      </w:r>
      <w:r w:rsidR="00DD53E4" w:rsidRPr="002F47F6">
        <w:t>, however, an</w:t>
      </w:r>
      <w:r w:rsidR="006332E5" w:rsidRPr="002F47F6">
        <w:t xml:space="preserve"> opportunity </w:t>
      </w:r>
      <w:r w:rsidR="00DD53E4" w:rsidRPr="002F47F6">
        <w:t>to</w:t>
      </w:r>
      <w:r w:rsidR="006332E5" w:rsidRPr="002F47F6">
        <w:t xml:space="preserve"> retrofit small fishing vessels </w:t>
      </w:r>
      <w:r w:rsidR="00DD53E4" w:rsidRPr="002F47F6">
        <w:t xml:space="preserve">with electric propulsion and to charge these </w:t>
      </w:r>
      <w:r w:rsidR="006332E5" w:rsidRPr="002F47F6">
        <w:t>using simple, low</w:t>
      </w:r>
      <w:r w:rsidR="00DD53E4" w:rsidRPr="002F47F6">
        <w:t>-</w:t>
      </w:r>
      <w:r w:rsidR="006332E5" w:rsidRPr="002F47F6">
        <w:t>voltage solar generation systems.</w:t>
      </w:r>
      <w:r w:rsidR="0026457C" w:rsidRPr="002F47F6">
        <w:t xml:space="preserve"> </w:t>
      </w:r>
      <w:r w:rsidR="00DD53E4" w:rsidRPr="002F47F6">
        <w:t>The kind</w:t>
      </w:r>
      <w:r w:rsidR="0026457C" w:rsidRPr="002F47F6">
        <w:t xml:space="preserve"> of small vessels used </w:t>
      </w:r>
      <w:r w:rsidR="00D611E9" w:rsidRPr="002F47F6">
        <w:t xml:space="preserve">to ferry </w:t>
      </w:r>
      <w:r w:rsidR="0026457C" w:rsidRPr="002F47F6">
        <w:t>tourists</w:t>
      </w:r>
      <w:r w:rsidR="00DD53E4" w:rsidRPr="002F47F6">
        <w:t xml:space="preserve"> could also be electrified.</w:t>
      </w:r>
    </w:p>
    <w:p w14:paraId="20EEA3A0" w14:textId="77777777" w:rsidR="00AE1984" w:rsidRDefault="00AE1984" w:rsidP="00092925">
      <w:pPr>
        <w:pStyle w:val="ListParagraph"/>
        <w:spacing w:after="120" w:line="216" w:lineRule="auto"/>
        <w:ind w:left="768"/>
      </w:pPr>
    </w:p>
    <w:p w14:paraId="4AA0DF69" w14:textId="464569F5" w:rsidR="00AB6BCB" w:rsidRPr="002F47F6" w:rsidRDefault="00066F24" w:rsidP="003506B7">
      <w:pPr>
        <w:pStyle w:val="ListParagraph"/>
        <w:numPr>
          <w:ilvl w:val="0"/>
          <w:numId w:val="6"/>
        </w:numPr>
        <w:spacing w:after="120" w:line="216" w:lineRule="auto"/>
      </w:pPr>
      <w:r w:rsidRPr="002F47F6">
        <w:t xml:space="preserve">While unmanaged charging could add pressure to already stressed and finely balanced electricity supply networks, electric vehicles </w:t>
      </w:r>
      <w:r w:rsidR="00DD53E4" w:rsidRPr="002F47F6">
        <w:t xml:space="preserve">might </w:t>
      </w:r>
      <w:proofErr w:type="gramStart"/>
      <w:r w:rsidR="00DD53E4" w:rsidRPr="002F47F6">
        <w:t xml:space="preserve">actually </w:t>
      </w:r>
      <w:r w:rsidR="00E034C4" w:rsidRPr="002F47F6">
        <w:t>de-</w:t>
      </w:r>
      <w:proofErr w:type="gramEnd"/>
      <w:r w:rsidR="00E034C4" w:rsidRPr="002F47F6">
        <w:t xml:space="preserve">stress or otherwise support the supply of electricity. Six </w:t>
      </w:r>
      <w:r w:rsidR="00E96AEB" w:rsidRPr="002F47F6">
        <w:t xml:space="preserve">main ways </w:t>
      </w:r>
      <w:r w:rsidR="00E034C4" w:rsidRPr="002F47F6">
        <w:t>were identified that could do this:</w:t>
      </w:r>
    </w:p>
    <w:p w14:paraId="18A7904B" w14:textId="77777777" w:rsidR="0069395C" w:rsidRPr="002F47F6" w:rsidRDefault="00AC141F" w:rsidP="002F47F6">
      <w:pPr>
        <w:pStyle w:val="ListParagraph"/>
        <w:numPr>
          <w:ilvl w:val="1"/>
          <w:numId w:val="6"/>
        </w:numPr>
        <w:spacing w:line="216" w:lineRule="auto"/>
        <w:ind w:left="1134" w:hanging="357"/>
      </w:pPr>
      <w:r w:rsidRPr="002F47F6">
        <w:rPr>
          <w:b/>
          <w:bCs/>
        </w:rPr>
        <w:t>V</w:t>
      </w:r>
      <w:r w:rsidR="00E96AEB" w:rsidRPr="002F47F6">
        <w:rPr>
          <w:b/>
          <w:bCs/>
        </w:rPr>
        <w:t>ehicle-to-</w:t>
      </w:r>
      <w:r w:rsidR="00572A9C" w:rsidRPr="002F47F6">
        <w:rPr>
          <w:b/>
          <w:bCs/>
        </w:rPr>
        <w:t>G</w:t>
      </w:r>
      <w:r w:rsidR="00E96AEB" w:rsidRPr="002F47F6">
        <w:rPr>
          <w:b/>
          <w:bCs/>
        </w:rPr>
        <w:t>rid (V2G</w:t>
      </w:r>
      <w:r w:rsidRPr="002F47F6">
        <w:rPr>
          <w:b/>
          <w:bCs/>
        </w:rPr>
        <w:t>)</w:t>
      </w:r>
      <w:r w:rsidRPr="002F47F6">
        <w:t xml:space="preserve">, where the electric vehicle is plugged into a device that connects the electric vehicle’s </w:t>
      </w:r>
      <w:r w:rsidR="00572A9C" w:rsidRPr="002F47F6">
        <w:t xml:space="preserve">propulsion </w:t>
      </w:r>
      <w:r w:rsidRPr="002F47F6">
        <w:t xml:space="preserve">battery with the grid and allows the </w:t>
      </w:r>
      <w:r w:rsidR="00973A1E" w:rsidRPr="002F47F6">
        <w:t xml:space="preserve">electricity </w:t>
      </w:r>
      <w:r w:rsidR="002F551C" w:rsidRPr="002F47F6">
        <w:t>supplier</w:t>
      </w:r>
      <w:r w:rsidRPr="002F47F6">
        <w:t xml:space="preserve"> to control the import and export of electricity to and from the electric vehicle’s battery</w:t>
      </w:r>
      <w:r w:rsidR="00337F13" w:rsidRPr="002F47F6">
        <w:t>.  This</w:t>
      </w:r>
      <w:r w:rsidR="00783A11" w:rsidRPr="002F47F6">
        <w:t xml:space="preserve"> could </w:t>
      </w:r>
      <w:r w:rsidR="0026457C" w:rsidRPr="002F47F6">
        <w:t xml:space="preserve">aid </w:t>
      </w:r>
      <w:r w:rsidR="002F551C" w:rsidRPr="002F47F6">
        <w:t xml:space="preserve">balancing of supply and demand on the grid and </w:t>
      </w:r>
      <w:r w:rsidR="00DD53E4" w:rsidRPr="002F47F6">
        <w:t xml:space="preserve">could bring about a small </w:t>
      </w:r>
      <w:r w:rsidR="00783A11" w:rsidRPr="002F47F6">
        <w:t xml:space="preserve">increase </w:t>
      </w:r>
      <w:r w:rsidR="00DD53E4" w:rsidRPr="002F47F6">
        <w:t xml:space="preserve">in </w:t>
      </w:r>
      <w:r w:rsidR="00783A11" w:rsidRPr="002F47F6">
        <w:t>the proportion of renewable generation</w:t>
      </w:r>
      <w:r w:rsidR="00572A9C" w:rsidRPr="002F47F6">
        <w:t xml:space="preserve"> incorporated in the grid</w:t>
      </w:r>
      <w:r w:rsidR="00CC013F" w:rsidRPr="002F47F6">
        <w:t>.</w:t>
      </w:r>
      <w:r w:rsidR="00035544" w:rsidRPr="002F47F6">
        <w:t xml:space="preserve"> However, V2G technology is </w:t>
      </w:r>
      <w:r w:rsidR="00DD53E4" w:rsidRPr="002F47F6">
        <w:t xml:space="preserve">still a long way from being perfected, and it is too difficult to </w:t>
      </w:r>
      <w:r w:rsidR="00035544" w:rsidRPr="002F47F6">
        <w:t xml:space="preserve">plan and prepare for </w:t>
      </w:r>
      <w:r w:rsidR="0069395C" w:rsidRPr="002F47F6">
        <w:t xml:space="preserve">V2G integration at this </w:t>
      </w:r>
      <w:r w:rsidR="00035544" w:rsidRPr="002F47F6">
        <w:t xml:space="preserve">early stage. </w:t>
      </w:r>
      <w:r w:rsidR="0069395C" w:rsidRPr="002F47F6">
        <w:t>As far as an action is concerned, i</w:t>
      </w:r>
      <w:r w:rsidR="00035544" w:rsidRPr="002F47F6">
        <w:t xml:space="preserve">t is therefore recommended that </w:t>
      </w:r>
      <w:r w:rsidR="0069395C" w:rsidRPr="002F47F6">
        <w:t xml:space="preserve">only </w:t>
      </w:r>
      <w:r w:rsidR="00035544" w:rsidRPr="002F47F6">
        <w:t xml:space="preserve">a watching brief is kept on V2G until </w:t>
      </w:r>
      <w:r w:rsidR="0069395C" w:rsidRPr="002F47F6">
        <w:t>there is more certainty around the technology.</w:t>
      </w:r>
    </w:p>
    <w:p w14:paraId="6F575C38" w14:textId="77777777" w:rsidR="00B24296" w:rsidRPr="002F47F6" w:rsidRDefault="00AC141F" w:rsidP="002F47F6">
      <w:pPr>
        <w:pStyle w:val="ListParagraph"/>
        <w:numPr>
          <w:ilvl w:val="1"/>
          <w:numId w:val="6"/>
        </w:numPr>
        <w:spacing w:line="216" w:lineRule="auto"/>
        <w:ind w:left="1134" w:hanging="357"/>
      </w:pPr>
      <w:r w:rsidRPr="002F47F6">
        <w:rPr>
          <w:b/>
          <w:bCs/>
        </w:rPr>
        <w:t>V</w:t>
      </w:r>
      <w:r w:rsidR="00E96AEB" w:rsidRPr="002F47F6">
        <w:rPr>
          <w:b/>
          <w:bCs/>
        </w:rPr>
        <w:t>ehicle-to-home (V2H)</w:t>
      </w:r>
      <w:r w:rsidR="00DD53E4" w:rsidRPr="002F47F6">
        <w:t xml:space="preserve"> is a simpler arrangement, </w:t>
      </w:r>
      <w:r w:rsidRPr="002F47F6">
        <w:t xml:space="preserve">where </w:t>
      </w:r>
      <w:r w:rsidR="00B24296" w:rsidRPr="002F47F6">
        <w:t>the vehicle is plugged into a device that allows electricity to be exported from the vehicle to an isolated or local</w:t>
      </w:r>
      <w:r w:rsidR="00572A9C" w:rsidRPr="002F47F6">
        <w:t xml:space="preserve"> </w:t>
      </w:r>
      <w:r w:rsidR="00B24296" w:rsidRPr="002F47F6">
        <w:t>electricity circuit</w:t>
      </w:r>
      <w:r w:rsidR="0069395C" w:rsidRPr="002F47F6">
        <w:t xml:space="preserve"> (</w:t>
      </w:r>
      <w:r w:rsidR="00DD53E4" w:rsidRPr="002F47F6">
        <w:t>instead of right through to the grid, as in the case of</w:t>
      </w:r>
      <w:r w:rsidR="0069395C" w:rsidRPr="002F47F6">
        <w:t xml:space="preserve"> V2G</w:t>
      </w:r>
      <w:r w:rsidR="00024779" w:rsidRPr="002F47F6">
        <w:t>)</w:t>
      </w:r>
      <w:r w:rsidR="00CC013F" w:rsidRPr="002F47F6">
        <w:t>.</w:t>
      </w:r>
      <w:r w:rsidR="00BD3059" w:rsidRPr="002F47F6">
        <w:t xml:space="preserve"> This technology is available in the global marketplace</w:t>
      </w:r>
      <w:r w:rsidR="005F132B" w:rsidRPr="002F47F6">
        <w:t xml:space="preserve"> and could be installed by individuals, providing them with a short-term backup electricity supply when the grid is down. However, standalone battery systems and standby generators may provide more cost</w:t>
      </w:r>
      <w:r w:rsidR="003F00EB" w:rsidRPr="002F47F6">
        <w:t>-</w:t>
      </w:r>
      <w:r w:rsidR="005F132B" w:rsidRPr="002F47F6">
        <w:t xml:space="preserve">effective and convenient power supply when grid supply is not available. Given only little effort would be required to make V2H options more accessible in </w:t>
      </w:r>
      <w:proofErr w:type="gramStart"/>
      <w:r w:rsidR="005F132B" w:rsidRPr="002F47F6">
        <w:t>PICTs, and</w:t>
      </w:r>
      <w:proofErr w:type="gramEnd"/>
      <w:r w:rsidR="005F132B" w:rsidRPr="002F47F6">
        <w:t xml:space="preserve"> given the potential benefit that might be realised to individuals, it is proposed that V2H be supported to some degree.</w:t>
      </w:r>
    </w:p>
    <w:p w14:paraId="0579BB6C" w14:textId="77777777" w:rsidR="00B24296" w:rsidRPr="002F47F6" w:rsidRDefault="00B24296" w:rsidP="002F47F6">
      <w:pPr>
        <w:pStyle w:val="ListParagraph"/>
        <w:numPr>
          <w:ilvl w:val="1"/>
          <w:numId w:val="6"/>
        </w:numPr>
        <w:spacing w:line="216" w:lineRule="auto"/>
        <w:ind w:left="1134" w:hanging="357"/>
      </w:pPr>
      <w:r w:rsidRPr="002F47F6">
        <w:rPr>
          <w:b/>
          <w:bCs/>
        </w:rPr>
        <w:t>G</w:t>
      </w:r>
      <w:r w:rsidR="00E96AEB" w:rsidRPr="002F47F6">
        <w:rPr>
          <w:b/>
          <w:bCs/>
        </w:rPr>
        <w:t>rid-scale</w:t>
      </w:r>
      <w:r w:rsidRPr="002F47F6">
        <w:rPr>
          <w:b/>
          <w:bCs/>
        </w:rPr>
        <w:t xml:space="preserve"> </w:t>
      </w:r>
      <w:r w:rsidR="00E96AEB" w:rsidRPr="002F47F6">
        <w:rPr>
          <w:b/>
          <w:bCs/>
        </w:rPr>
        <w:t>managed charging</w:t>
      </w:r>
      <w:r w:rsidR="00E96AEB" w:rsidRPr="002F47F6">
        <w:t xml:space="preserve">, </w:t>
      </w:r>
      <w:r w:rsidRPr="002F47F6">
        <w:t xml:space="preserve">where </w:t>
      </w:r>
      <w:r w:rsidR="00347564" w:rsidRPr="002F47F6">
        <w:t>the electricity suppl</w:t>
      </w:r>
      <w:r w:rsidR="003D1D9C" w:rsidRPr="002F47F6">
        <w:t>ier</w:t>
      </w:r>
      <w:r w:rsidRPr="002F47F6">
        <w:t xml:space="preserve"> has control over when and</w:t>
      </w:r>
      <w:r w:rsidR="004F7052" w:rsidRPr="002F47F6">
        <w:t>/or</w:t>
      </w:r>
      <w:r w:rsidRPr="002F47F6">
        <w:t xml:space="preserve"> </w:t>
      </w:r>
      <w:r w:rsidR="00572A9C" w:rsidRPr="002F47F6">
        <w:t xml:space="preserve">at </w:t>
      </w:r>
      <w:r w:rsidRPr="002F47F6">
        <w:t xml:space="preserve">what rate charging of an electric vehicle occurs. This has the advantage of shifting demand from electric vehicle charging to times </w:t>
      </w:r>
      <w:r w:rsidR="003F00EB" w:rsidRPr="002F47F6">
        <w:t xml:space="preserve">when </w:t>
      </w:r>
      <w:r w:rsidRPr="002F47F6">
        <w:t xml:space="preserve">it is more beneficial </w:t>
      </w:r>
      <w:r w:rsidR="00572A9C" w:rsidRPr="002F47F6">
        <w:t xml:space="preserve">to </w:t>
      </w:r>
      <w:r w:rsidR="00347564" w:rsidRPr="002F47F6">
        <w:t>the grid supply</w:t>
      </w:r>
      <w:r w:rsidR="003F00EB" w:rsidRPr="002F47F6">
        <w:t xml:space="preserve"> —</w:t>
      </w:r>
      <w:r w:rsidRPr="002F47F6">
        <w:t xml:space="preserve"> for example, when there is excess renewable energy available</w:t>
      </w:r>
      <w:r w:rsidR="003D1D9C" w:rsidRPr="002F47F6">
        <w:t xml:space="preserve">, or when there is spare capacity in the distribution network. </w:t>
      </w:r>
      <w:r w:rsidR="003F00EB" w:rsidRPr="002F47F6">
        <w:t>Some form of g</w:t>
      </w:r>
      <w:r w:rsidR="005E304E" w:rsidRPr="002F47F6">
        <w:t>rid</w:t>
      </w:r>
      <w:r w:rsidR="003F00EB" w:rsidRPr="002F47F6">
        <w:t>-scale</w:t>
      </w:r>
      <w:r w:rsidR="005E304E" w:rsidRPr="002F47F6">
        <w:t xml:space="preserve"> managed charging will be </w:t>
      </w:r>
      <w:r w:rsidR="00C5324E" w:rsidRPr="002F47F6">
        <w:t>necessary</w:t>
      </w:r>
      <w:r w:rsidR="005E304E" w:rsidRPr="002F47F6">
        <w:t xml:space="preserve"> </w:t>
      </w:r>
      <w:r w:rsidR="00C5324E" w:rsidRPr="002F47F6">
        <w:t xml:space="preserve">when </w:t>
      </w:r>
      <w:r w:rsidR="003F00EB" w:rsidRPr="002F47F6">
        <w:t xml:space="preserve">there are enough EVs charging to place </w:t>
      </w:r>
      <w:r w:rsidR="00C5324E" w:rsidRPr="002F47F6">
        <w:t xml:space="preserve">a significant demand on the grid. However, the technology involved is still evolving and it is far from </w:t>
      </w:r>
      <w:proofErr w:type="gramStart"/>
      <w:r w:rsidR="00C5324E" w:rsidRPr="002F47F6">
        <w:t>market</w:t>
      </w:r>
      <w:r w:rsidR="003F00EB" w:rsidRPr="002F47F6">
        <w:t>-</w:t>
      </w:r>
      <w:r w:rsidR="00C5324E" w:rsidRPr="002F47F6">
        <w:t>ready</w:t>
      </w:r>
      <w:proofErr w:type="gramEnd"/>
      <w:r w:rsidR="00C5324E" w:rsidRPr="002F47F6">
        <w:t xml:space="preserve">. </w:t>
      </w:r>
      <w:r w:rsidR="005F132B" w:rsidRPr="002F47F6">
        <w:t xml:space="preserve">For this reason, it is recommended that a watching brief be maintained on developments in grid-scale managed charging so that PICTs can begin to prepare for </w:t>
      </w:r>
      <w:r w:rsidR="003F00EB" w:rsidRPr="002F47F6">
        <w:t>the day when</w:t>
      </w:r>
      <w:r w:rsidR="004F7052" w:rsidRPr="002F47F6">
        <w:t xml:space="preserve"> it</w:t>
      </w:r>
      <w:r w:rsidR="003F00EB" w:rsidRPr="002F47F6">
        <w:t>s introduction can be considered</w:t>
      </w:r>
      <w:r w:rsidR="00C5324E" w:rsidRPr="002F47F6">
        <w:t>.</w:t>
      </w:r>
    </w:p>
    <w:p w14:paraId="2A17C114" w14:textId="77777777" w:rsidR="00E65B57" w:rsidRPr="002F47F6" w:rsidRDefault="00B24296" w:rsidP="002F47F6">
      <w:pPr>
        <w:pStyle w:val="ListParagraph"/>
        <w:numPr>
          <w:ilvl w:val="1"/>
          <w:numId w:val="6"/>
        </w:numPr>
        <w:spacing w:line="216" w:lineRule="auto"/>
        <w:ind w:left="1134" w:hanging="357"/>
      </w:pPr>
      <w:r w:rsidRPr="002F47F6">
        <w:rPr>
          <w:b/>
          <w:bCs/>
        </w:rPr>
        <w:t>Local-site managed charging</w:t>
      </w:r>
      <w:r w:rsidRPr="002F47F6">
        <w:t>, where charging of a vehicle is man</w:t>
      </w:r>
      <w:r w:rsidR="00C005DC" w:rsidRPr="002F47F6">
        <w:t>a</w:t>
      </w:r>
      <w:r w:rsidRPr="002F47F6">
        <w:t xml:space="preserve">ged according to other demands for electricity on the site and/or what </w:t>
      </w:r>
      <w:r w:rsidR="00347564" w:rsidRPr="002F47F6">
        <w:t xml:space="preserve">local electricity </w:t>
      </w:r>
      <w:r w:rsidRPr="002F47F6">
        <w:t>generation is available</w:t>
      </w:r>
      <w:r w:rsidR="003F00EB" w:rsidRPr="002F47F6">
        <w:t xml:space="preserve"> </w:t>
      </w:r>
      <w:r w:rsidR="003F00EB" w:rsidRPr="002F47F6">
        <w:lastRenderedPageBreak/>
        <w:t>(e.g. from on-site solar PV or wind generators)</w:t>
      </w:r>
      <w:r w:rsidRPr="002F47F6">
        <w:t xml:space="preserve">. This </w:t>
      </w:r>
      <w:r w:rsidR="00C5324E" w:rsidRPr="002F47F6">
        <w:t xml:space="preserve">requires far </w:t>
      </w:r>
      <w:r w:rsidR="003F00EB" w:rsidRPr="002F47F6">
        <w:t>simpler</w:t>
      </w:r>
      <w:r w:rsidR="00C5324E" w:rsidRPr="002F47F6">
        <w:t xml:space="preserve"> systems than grid-scale managed charging and </w:t>
      </w:r>
      <w:r w:rsidR="00E65B57" w:rsidRPr="002F47F6">
        <w:t xml:space="preserve">uses </w:t>
      </w:r>
      <w:r w:rsidR="00C5324E" w:rsidRPr="002F47F6">
        <w:t xml:space="preserve">technology that is already available in the global marketplace. </w:t>
      </w:r>
      <w:r w:rsidR="00E65B57" w:rsidRPr="002F47F6">
        <w:t xml:space="preserve">Like V2H, it promises to benefit individuals, but </w:t>
      </w:r>
      <w:r w:rsidR="003F00EB" w:rsidRPr="002F47F6">
        <w:t>offers little</w:t>
      </w:r>
      <w:r w:rsidR="00E65B57" w:rsidRPr="002F47F6">
        <w:t xml:space="preserve"> on a national scale unless it </w:t>
      </w:r>
      <w:r w:rsidR="003F00EB" w:rsidRPr="002F47F6">
        <w:t xml:space="preserve">were </w:t>
      </w:r>
      <w:r w:rsidR="00E65B57" w:rsidRPr="002F47F6">
        <w:t xml:space="preserve">part of a national initiative to promote, say, distributed solar </w:t>
      </w:r>
      <w:r w:rsidR="003F00EB" w:rsidRPr="002F47F6">
        <w:t>photovoltaic (</w:t>
      </w:r>
      <w:r w:rsidR="00E65B57" w:rsidRPr="002F47F6">
        <w:t>PV</w:t>
      </w:r>
      <w:r w:rsidR="003F00EB" w:rsidRPr="002F47F6">
        <w:t>)</w:t>
      </w:r>
      <w:r w:rsidR="00E65B57" w:rsidRPr="002F47F6">
        <w:t xml:space="preserve"> generation. Considering the small effort required to make on-site managed charging more accessible – mainly through awareness and information initiatives – it is proposed that on-site managed charging is supported at some level.</w:t>
      </w:r>
    </w:p>
    <w:p w14:paraId="6C56E17F" w14:textId="77777777" w:rsidR="00E65B57" w:rsidRPr="002F47F6" w:rsidRDefault="00B24296" w:rsidP="002F47F6">
      <w:pPr>
        <w:pStyle w:val="ListParagraph"/>
        <w:numPr>
          <w:ilvl w:val="1"/>
          <w:numId w:val="6"/>
        </w:numPr>
        <w:spacing w:line="216" w:lineRule="auto"/>
        <w:ind w:left="1134" w:hanging="357"/>
      </w:pPr>
      <w:r w:rsidRPr="002F47F6">
        <w:rPr>
          <w:b/>
          <w:bCs/>
        </w:rPr>
        <w:t>T</w:t>
      </w:r>
      <w:r w:rsidR="00E96AEB" w:rsidRPr="002F47F6">
        <w:rPr>
          <w:b/>
          <w:bCs/>
        </w:rPr>
        <w:t>ime of use (TOU)</w:t>
      </w:r>
      <w:r w:rsidR="00E96AEB" w:rsidRPr="002F47F6">
        <w:t xml:space="preserve"> </w:t>
      </w:r>
      <w:r w:rsidR="00E96AEB" w:rsidRPr="002F47F6">
        <w:rPr>
          <w:b/>
          <w:bCs/>
        </w:rPr>
        <w:t>electricity pricing</w:t>
      </w:r>
      <w:r w:rsidR="00AB7C9A" w:rsidRPr="002F47F6">
        <w:rPr>
          <w:b/>
          <w:bCs/>
        </w:rPr>
        <w:t>,</w:t>
      </w:r>
      <w:r w:rsidR="00AB7C9A" w:rsidRPr="002F47F6">
        <w:t xml:space="preserve"> which </w:t>
      </w:r>
      <w:r w:rsidRPr="002F47F6">
        <w:t xml:space="preserve">is used to encourage </w:t>
      </w:r>
      <w:r w:rsidR="00AB7C9A" w:rsidRPr="002F47F6">
        <w:t xml:space="preserve">customers to shift demand to periods </w:t>
      </w:r>
      <w:r w:rsidR="003F00EB" w:rsidRPr="002F47F6">
        <w:t>that suit</w:t>
      </w:r>
      <w:r w:rsidR="00AB7C9A" w:rsidRPr="002F47F6">
        <w:t xml:space="preserve"> the electricity supplier by advertising lower cost electricity for these times</w:t>
      </w:r>
      <w:r w:rsidR="00FF25C1" w:rsidRPr="002F47F6">
        <w:t xml:space="preserve"> (and benefiting EV owners if they choose to charge when electricity is cheapest).</w:t>
      </w:r>
      <w:r w:rsidR="00AB7C9A" w:rsidRPr="002F47F6">
        <w:t xml:space="preserve"> TOU pricing </w:t>
      </w:r>
      <w:r w:rsidR="003F00EB" w:rsidRPr="002F47F6">
        <w:t>doesn’t only benefit those charging</w:t>
      </w:r>
      <w:r w:rsidR="00AB7C9A" w:rsidRPr="002F47F6">
        <w:t xml:space="preserve"> vehicle</w:t>
      </w:r>
      <w:r w:rsidR="003F00EB" w:rsidRPr="002F47F6">
        <w:t>s</w:t>
      </w:r>
      <w:r w:rsidR="00AB7C9A" w:rsidRPr="002F47F6">
        <w:t xml:space="preserve">, as it </w:t>
      </w:r>
      <w:r w:rsidR="00FF090A" w:rsidRPr="002F47F6">
        <w:t xml:space="preserve">can </w:t>
      </w:r>
      <w:r w:rsidR="00AB7C9A" w:rsidRPr="002F47F6">
        <w:t>direct customers</w:t>
      </w:r>
      <w:r w:rsidR="00FF090A" w:rsidRPr="002F47F6">
        <w:t>’</w:t>
      </w:r>
      <w:r w:rsidR="00AB7C9A" w:rsidRPr="002F47F6">
        <w:t xml:space="preserve"> choice </w:t>
      </w:r>
      <w:r w:rsidR="00FF090A" w:rsidRPr="002F47F6">
        <w:t xml:space="preserve">as to </w:t>
      </w:r>
      <w:r w:rsidR="00AB7C9A" w:rsidRPr="002F47F6">
        <w:t xml:space="preserve">when they use </w:t>
      </w:r>
      <w:r w:rsidR="00FF090A" w:rsidRPr="002F47F6">
        <w:t xml:space="preserve">household </w:t>
      </w:r>
      <w:r w:rsidR="00AB7C9A" w:rsidRPr="002F47F6">
        <w:t xml:space="preserve">appliances and </w:t>
      </w:r>
      <w:r w:rsidR="00347564" w:rsidRPr="002F47F6">
        <w:t xml:space="preserve">other electrical </w:t>
      </w:r>
      <w:r w:rsidR="00AB7C9A" w:rsidRPr="002F47F6">
        <w:t xml:space="preserve">equipment. TOU </w:t>
      </w:r>
      <w:r w:rsidR="00347564" w:rsidRPr="002F47F6">
        <w:t xml:space="preserve">pricing </w:t>
      </w:r>
      <w:r w:rsidR="00AB7C9A" w:rsidRPr="002F47F6">
        <w:t xml:space="preserve">requires the use of TOU or </w:t>
      </w:r>
      <w:r w:rsidR="00FF090A" w:rsidRPr="002F47F6">
        <w:t>“</w:t>
      </w:r>
      <w:r w:rsidR="00AB7C9A" w:rsidRPr="002F47F6">
        <w:t>smart</w:t>
      </w:r>
      <w:r w:rsidR="00FF090A" w:rsidRPr="002F47F6">
        <w:t xml:space="preserve">” </w:t>
      </w:r>
      <w:r w:rsidR="00AB7C9A" w:rsidRPr="002F47F6">
        <w:t xml:space="preserve">meters. </w:t>
      </w:r>
      <w:r w:rsidR="00E65B57" w:rsidRPr="002F47F6">
        <w:t xml:space="preserve">The tools to implement </w:t>
      </w:r>
      <w:r w:rsidR="004F7052" w:rsidRPr="002F47F6">
        <w:t>TOU</w:t>
      </w:r>
      <w:r w:rsidR="00E65B57" w:rsidRPr="002F47F6">
        <w:t xml:space="preserve"> pricing are commercially available, and it is within the capability of PICTs both to install and support the technology. The benefits of doing so would be both significant and on a national scale</w:t>
      </w:r>
      <w:r w:rsidR="003F00EB" w:rsidRPr="002F47F6">
        <w:t xml:space="preserve"> in practically every case</w:t>
      </w:r>
      <w:r w:rsidR="00E65B57" w:rsidRPr="002F47F6">
        <w:t xml:space="preserve">. TOU pricing </w:t>
      </w:r>
      <w:r w:rsidR="00FF25C1" w:rsidRPr="002F47F6">
        <w:t xml:space="preserve">may also be used in a way </w:t>
      </w:r>
      <w:r w:rsidR="00E65B57" w:rsidRPr="002F47F6">
        <w:t>that result</w:t>
      </w:r>
      <w:r w:rsidR="00FF25C1" w:rsidRPr="002F47F6">
        <w:t>s</w:t>
      </w:r>
      <w:r w:rsidR="00E65B57" w:rsidRPr="002F47F6">
        <w:t xml:space="preserve"> in a net reduction in GHG emissions</w:t>
      </w:r>
      <w:r w:rsidR="00FF25C1" w:rsidRPr="002F47F6">
        <w:t>.</w:t>
      </w:r>
    </w:p>
    <w:p w14:paraId="5C15BF0B" w14:textId="77777777" w:rsidR="00FF25C1" w:rsidRPr="002F47F6" w:rsidRDefault="00AB7C9A" w:rsidP="002F47F6">
      <w:pPr>
        <w:pStyle w:val="ListParagraph"/>
        <w:numPr>
          <w:ilvl w:val="1"/>
          <w:numId w:val="6"/>
        </w:numPr>
        <w:spacing w:line="216" w:lineRule="auto"/>
        <w:ind w:left="1134" w:hanging="357"/>
      </w:pPr>
      <w:r w:rsidRPr="002F47F6">
        <w:rPr>
          <w:b/>
          <w:bCs/>
        </w:rPr>
        <w:t>L</w:t>
      </w:r>
      <w:r w:rsidR="00E96AEB" w:rsidRPr="002F47F6">
        <w:rPr>
          <w:b/>
          <w:bCs/>
        </w:rPr>
        <w:t>ow voltage systems</w:t>
      </w:r>
      <w:r w:rsidRPr="002F47F6">
        <w:t>, which</w:t>
      </w:r>
      <w:r w:rsidR="008B7C6B" w:rsidRPr="002F47F6">
        <w:t xml:space="preserve"> </w:t>
      </w:r>
      <w:r w:rsidR="00347564" w:rsidRPr="002F47F6">
        <w:t xml:space="preserve">use </w:t>
      </w:r>
      <w:r w:rsidR="004F7052" w:rsidRPr="002F47F6">
        <w:t xml:space="preserve">voltages </w:t>
      </w:r>
      <w:r w:rsidR="00501559" w:rsidRPr="002F47F6">
        <w:t xml:space="preserve">under </w:t>
      </w:r>
      <w:r w:rsidR="00CC013F" w:rsidRPr="002F47F6">
        <w:t>5</w:t>
      </w:r>
      <w:r w:rsidR="00501559" w:rsidRPr="002F47F6">
        <w:t>0V</w:t>
      </w:r>
      <w:r w:rsidR="00CC013F" w:rsidRPr="002F47F6">
        <w:t xml:space="preserve"> (nominal</w:t>
      </w:r>
      <w:r w:rsidR="004F7052" w:rsidRPr="002F47F6">
        <w:rPr>
          <w:rStyle w:val="FootnoteReference"/>
        </w:rPr>
        <w:footnoteReference w:id="4"/>
      </w:r>
      <w:r w:rsidR="00CC013F" w:rsidRPr="002F47F6">
        <w:t>)</w:t>
      </w:r>
      <w:r w:rsidR="00501559" w:rsidRPr="002F47F6">
        <w:t xml:space="preserve">, direct current </w:t>
      </w:r>
      <w:r w:rsidR="00621ECB" w:rsidRPr="002F47F6">
        <w:t>(</w:t>
      </w:r>
      <w:r w:rsidR="00501559" w:rsidRPr="002F47F6">
        <w:t xml:space="preserve">DC) </w:t>
      </w:r>
      <w:r w:rsidR="00347564" w:rsidRPr="002F47F6">
        <w:t xml:space="preserve">battery systems for </w:t>
      </w:r>
      <w:r w:rsidR="008B7C6B" w:rsidRPr="002F47F6">
        <w:t xml:space="preserve">e-mobility and </w:t>
      </w:r>
      <w:r w:rsidR="00FF25C1" w:rsidRPr="002F47F6">
        <w:t>for low</w:t>
      </w:r>
      <w:r w:rsidR="005B3663" w:rsidRPr="002F47F6">
        <w:t>-</w:t>
      </w:r>
      <w:r w:rsidR="00FF25C1" w:rsidRPr="002F47F6">
        <w:t xml:space="preserve">power circuits such as those </w:t>
      </w:r>
      <w:r w:rsidR="009631BD" w:rsidRPr="002F47F6">
        <w:t>providing lighting and basic utilities in remote locations.</w:t>
      </w:r>
      <w:r w:rsidR="008B7C6B" w:rsidRPr="002F47F6">
        <w:t xml:space="preserve"> </w:t>
      </w:r>
      <w:r w:rsidR="009631BD" w:rsidRPr="002F47F6">
        <w:t xml:space="preserve">Combined with solar generation, </w:t>
      </w:r>
      <w:r w:rsidR="0094114D" w:rsidRPr="002F47F6">
        <w:t xml:space="preserve">these can be operated </w:t>
      </w:r>
      <w:r w:rsidR="005B3663" w:rsidRPr="002F47F6">
        <w:t xml:space="preserve">in isolation </w:t>
      </w:r>
      <w:r w:rsidR="0094114D" w:rsidRPr="002F47F6">
        <w:t xml:space="preserve">from the grid supply. </w:t>
      </w:r>
      <w:r w:rsidR="00FF25C1" w:rsidRPr="002F47F6">
        <w:t>Because of the many benefits to be realised from the uptake of low-voltage systems, and the significant improvements that should be realised through providing guidance to the sector, it is recommended that the development of low</w:t>
      </w:r>
      <w:r w:rsidR="005B3663" w:rsidRPr="002F47F6">
        <w:t>-</w:t>
      </w:r>
      <w:r w:rsidR="00FF25C1" w:rsidRPr="002F47F6">
        <w:t>voltage e-mobility and electrification sectors is supported</w:t>
      </w:r>
      <w:r w:rsidR="00A36330" w:rsidRPr="002F47F6">
        <w:t>.</w:t>
      </w:r>
    </w:p>
    <w:p w14:paraId="494EF737" w14:textId="20B4A337" w:rsidR="00442DC6" w:rsidRPr="002F47F6" w:rsidRDefault="00490B39" w:rsidP="00504E82">
      <w:pPr>
        <w:spacing w:line="216" w:lineRule="auto"/>
      </w:pPr>
      <w:r>
        <w:t>As pointed out earlier, n</w:t>
      </w:r>
      <w:r w:rsidR="000C62BF" w:rsidRPr="002F47F6">
        <w:t xml:space="preserve">one of these </w:t>
      </w:r>
      <w:r w:rsidR="006352C3" w:rsidRPr="002F47F6">
        <w:t xml:space="preserve">EV-electricity supply combinations </w:t>
      </w:r>
      <w:r w:rsidR="005B3663" w:rsidRPr="002F47F6">
        <w:t xml:space="preserve">amount to a </w:t>
      </w:r>
      <w:r w:rsidR="000C62BF" w:rsidRPr="002F47F6">
        <w:t>reason to promote the use EVs to support the supply of electricity</w:t>
      </w:r>
      <w:r w:rsidR="005B3663" w:rsidRPr="002F47F6">
        <w:t>:</w:t>
      </w:r>
      <w:r w:rsidR="000C62BF" w:rsidRPr="002F47F6">
        <w:t xml:space="preserve"> there are cheaper options to </w:t>
      </w:r>
      <w:r w:rsidR="005B3663" w:rsidRPr="002F47F6">
        <w:t>achieve the same effect</w:t>
      </w:r>
      <w:r w:rsidR="000C62BF" w:rsidRPr="002F47F6">
        <w:t xml:space="preserve">. </w:t>
      </w:r>
      <w:r w:rsidR="005B3663" w:rsidRPr="002F47F6">
        <w:t>T</w:t>
      </w:r>
      <w:r w:rsidR="000C62BF" w:rsidRPr="002F47F6">
        <w:t xml:space="preserve">hese EV-electricity supply </w:t>
      </w:r>
      <w:r w:rsidR="006352C3" w:rsidRPr="002F47F6">
        <w:t xml:space="preserve">combinations </w:t>
      </w:r>
      <w:r w:rsidR="005B3663" w:rsidRPr="002F47F6">
        <w:t>should be thought of more as</w:t>
      </w:r>
      <w:r w:rsidR="000C62BF" w:rsidRPr="002F47F6">
        <w:t xml:space="preserve"> opportunities to </w:t>
      </w:r>
      <w:r w:rsidR="005B3663" w:rsidRPr="002F47F6">
        <w:t xml:space="preserve">be </w:t>
      </w:r>
      <w:r w:rsidR="000C62BF" w:rsidRPr="002F47F6">
        <w:t>consider</w:t>
      </w:r>
      <w:r w:rsidR="005B3663" w:rsidRPr="002F47F6">
        <w:t>ed</w:t>
      </w:r>
      <w:r w:rsidR="000C62BF" w:rsidRPr="002F47F6">
        <w:t xml:space="preserve"> if electric vehicles </w:t>
      </w:r>
      <w:r w:rsidR="005B3663" w:rsidRPr="002F47F6">
        <w:t xml:space="preserve">are </w:t>
      </w:r>
      <w:r w:rsidR="00442DC6" w:rsidRPr="002F47F6">
        <w:t>introduced</w:t>
      </w:r>
      <w:r w:rsidR="005B3663" w:rsidRPr="002F47F6">
        <w:t xml:space="preserve">, or as ways of </w:t>
      </w:r>
      <w:r w:rsidR="00442DC6" w:rsidRPr="002F47F6">
        <w:t>minimising</w:t>
      </w:r>
      <w:r w:rsidR="009026F5">
        <w:t xml:space="preserve"> or even exploiting </w:t>
      </w:r>
      <w:r w:rsidR="00442DC6" w:rsidRPr="002F47F6">
        <w:t>the</w:t>
      </w:r>
      <w:r w:rsidR="00E85ED3" w:rsidRPr="002F47F6">
        <w:t xml:space="preserve"> effect</w:t>
      </w:r>
      <w:r w:rsidR="009026F5">
        <w:t xml:space="preserve"> </w:t>
      </w:r>
      <w:r w:rsidR="006352C3" w:rsidRPr="002F47F6">
        <w:t xml:space="preserve">that </w:t>
      </w:r>
      <w:r w:rsidR="005B3663" w:rsidRPr="002F47F6">
        <w:t xml:space="preserve">the </w:t>
      </w:r>
      <w:r w:rsidR="00E85ED3" w:rsidRPr="002F47F6">
        <w:t xml:space="preserve">charging of EVs </w:t>
      </w:r>
      <w:r w:rsidR="006352C3" w:rsidRPr="002F47F6">
        <w:t xml:space="preserve">might have on </w:t>
      </w:r>
      <w:r w:rsidR="00442DC6" w:rsidRPr="002F47F6">
        <w:t xml:space="preserve">electricity supply systems. </w:t>
      </w:r>
    </w:p>
    <w:p w14:paraId="756EDA3C" w14:textId="77777777" w:rsidR="0094114D" w:rsidRDefault="00BD2BFF">
      <w:pPr>
        <w:pStyle w:val="Heading1"/>
        <w:rPr>
          <w:rFonts w:asciiTheme="minorHAnsi" w:hAnsiTheme="minorHAnsi" w:cstheme="minorHAnsi"/>
          <w:b/>
          <w:color w:val="1F3864" w:themeColor="accent1" w:themeShade="80"/>
          <w:sz w:val="24"/>
        </w:rPr>
      </w:pPr>
      <w:bookmarkStart w:id="20" w:name="_Toc38034043"/>
      <w:bookmarkEnd w:id="19"/>
      <w:r>
        <w:rPr>
          <w:rFonts w:asciiTheme="minorHAnsi" w:hAnsiTheme="minorHAnsi" w:cstheme="minorHAnsi"/>
          <w:b/>
          <w:color w:val="1F3864" w:themeColor="accent1" w:themeShade="80"/>
          <w:sz w:val="24"/>
        </w:rPr>
        <w:t xml:space="preserve">Context for Developing EV Policy </w:t>
      </w:r>
      <w:r w:rsidR="0094114D">
        <w:rPr>
          <w:rFonts w:asciiTheme="minorHAnsi" w:hAnsiTheme="minorHAnsi" w:cstheme="minorHAnsi"/>
          <w:b/>
          <w:color w:val="1F3864" w:themeColor="accent1" w:themeShade="80"/>
          <w:sz w:val="24"/>
        </w:rPr>
        <w:t>in the PICTs</w:t>
      </w:r>
      <w:bookmarkEnd w:id="20"/>
    </w:p>
    <w:p w14:paraId="38B72729" w14:textId="77777777" w:rsidR="00784959" w:rsidRPr="00B75D55" w:rsidRDefault="00784959" w:rsidP="00B75D55">
      <w:pPr>
        <w:pStyle w:val="Heading2"/>
        <w:spacing w:after="120"/>
        <w:ind w:left="426" w:hanging="426"/>
        <w:rPr>
          <w:rFonts w:asciiTheme="minorHAnsi" w:hAnsiTheme="minorHAnsi" w:cstheme="minorHAnsi"/>
          <w:b/>
          <w:color w:val="1F3864" w:themeColor="accent1" w:themeShade="80"/>
          <w:sz w:val="22"/>
          <w:szCs w:val="32"/>
        </w:rPr>
      </w:pPr>
      <w:bookmarkStart w:id="21" w:name="_Toc38034044"/>
      <w:r w:rsidRPr="00B75D55">
        <w:rPr>
          <w:rFonts w:asciiTheme="minorHAnsi" w:hAnsiTheme="minorHAnsi" w:cstheme="minorHAnsi"/>
          <w:b/>
          <w:color w:val="1F3864" w:themeColor="accent1" w:themeShade="80"/>
          <w:sz w:val="22"/>
          <w:szCs w:val="32"/>
        </w:rPr>
        <w:t>Introduction</w:t>
      </w:r>
      <w:bookmarkEnd w:id="21"/>
    </w:p>
    <w:p w14:paraId="65661101" w14:textId="7DD5C446" w:rsidR="003163D8" w:rsidRDefault="003163D8" w:rsidP="00181092">
      <w:pPr>
        <w:spacing w:before="120" w:line="216" w:lineRule="auto"/>
      </w:pPr>
      <w:r>
        <w:t xml:space="preserve">This section </w:t>
      </w:r>
      <w:r w:rsidR="005B3663">
        <w:t xml:space="preserve">examines </w:t>
      </w:r>
      <w:r>
        <w:t xml:space="preserve">the context </w:t>
      </w:r>
      <w:r w:rsidR="00E00C60">
        <w:t xml:space="preserve">in which proposed </w:t>
      </w:r>
      <w:r>
        <w:t xml:space="preserve">EV policy </w:t>
      </w:r>
      <w:r w:rsidR="00335784">
        <w:t xml:space="preserve">and </w:t>
      </w:r>
      <w:r w:rsidR="0054193B">
        <w:t>actions</w:t>
      </w:r>
      <w:r w:rsidR="00335784">
        <w:t xml:space="preserve"> </w:t>
      </w:r>
      <w:r w:rsidR="00E00C60">
        <w:t>are to be deployed</w:t>
      </w:r>
      <w:r w:rsidR="005B3663">
        <w:t xml:space="preserve"> in PICTs</w:t>
      </w:r>
      <w:r w:rsidR="00E00C60">
        <w:t xml:space="preserve">. This </w:t>
      </w:r>
      <w:r w:rsidR="005B3663">
        <w:t xml:space="preserve">includes </w:t>
      </w:r>
      <w:r>
        <w:t>consider</w:t>
      </w:r>
      <w:r w:rsidR="005B3663">
        <w:t>ation</w:t>
      </w:r>
      <w:r w:rsidR="007A4220">
        <w:t xml:space="preserve"> </w:t>
      </w:r>
      <w:r w:rsidR="005B3663">
        <w:t>of the ways in which</w:t>
      </w:r>
      <w:r>
        <w:t xml:space="preserve"> EVs have</w:t>
      </w:r>
      <w:r w:rsidR="005B3663">
        <w:t xml:space="preserve"> already</w:t>
      </w:r>
      <w:r>
        <w:t xml:space="preserve"> been </w:t>
      </w:r>
      <w:r w:rsidR="007A4220">
        <w:t xml:space="preserve">explicitly </w:t>
      </w:r>
      <w:r w:rsidR="005B3663">
        <w:t xml:space="preserve">treated </w:t>
      </w:r>
      <w:r>
        <w:t xml:space="preserve">in policy </w:t>
      </w:r>
      <w:r w:rsidR="00335784">
        <w:t xml:space="preserve">and </w:t>
      </w:r>
      <w:r w:rsidR="009026F5">
        <w:t>activities</w:t>
      </w:r>
      <w:r w:rsidR="00E00C60">
        <w:t xml:space="preserve"> </w:t>
      </w:r>
      <w:r>
        <w:t xml:space="preserve">in the PICTs to date, </w:t>
      </w:r>
      <w:r w:rsidR="005B3663">
        <w:t xml:space="preserve">and also </w:t>
      </w:r>
      <w:r w:rsidR="007A4220">
        <w:t>in policy</w:t>
      </w:r>
      <w:r w:rsidR="005B3663">
        <w:t xml:space="preserve"> that may have indirectly affected them —</w:t>
      </w:r>
      <w:r w:rsidR="007A4220">
        <w:t xml:space="preserve"> </w:t>
      </w:r>
      <w:r>
        <w:t>energy and transport policies</w:t>
      </w:r>
      <w:r w:rsidR="00E00C60">
        <w:t xml:space="preserve"> and strategies</w:t>
      </w:r>
      <w:r>
        <w:t xml:space="preserve">, </w:t>
      </w:r>
      <w:r w:rsidR="007A4220">
        <w:t xml:space="preserve">for example — </w:t>
      </w:r>
      <w:r>
        <w:t xml:space="preserve">and </w:t>
      </w:r>
      <w:r w:rsidR="007A4220">
        <w:t xml:space="preserve">any </w:t>
      </w:r>
      <w:r>
        <w:t xml:space="preserve">other </w:t>
      </w:r>
      <w:r w:rsidR="007A4220">
        <w:t xml:space="preserve">relevant </w:t>
      </w:r>
      <w:r>
        <w:t>guidelines</w:t>
      </w:r>
      <w:r w:rsidR="00335784">
        <w:t>, frameworks and/or</w:t>
      </w:r>
      <w:r>
        <w:t xml:space="preserve"> </w:t>
      </w:r>
      <w:r w:rsidR="00335784">
        <w:t xml:space="preserve">agreed </w:t>
      </w:r>
      <w:r>
        <w:t xml:space="preserve">principles </w:t>
      </w:r>
      <w:r w:rsidR="007A4220">
        <w:t xml:space="preserve">that </w:t>
      </w:r>
      <w:r w:rsidR="006352C3">
        <w:t>exist in the PICT policy landscape</w:t>
      </w:r>
      <w:r>
        <w:t>.</w:t>
      </w:r>
    </w:p>
    <w:p w14:paraId="17A74DA6" w14:textId="03CF0B7D" w:rsidR="00D65FC4" w:rsidRDefault="00855A1C" w:rsidP="00181092">
      <w:pPr>
        <w:spacing w:after="240" w:line="216" w:lineRule="auto"/>
      </w:pPr>
      <w:r>
        <w:t>“</w:t>
      </w:r>
      <w:r w:rsidR="00D65FC4">
        <w:t>P</w:t>
      </w:r>
      <w:r>
        <w:t xml:space="preserve">olicy” refers to </w:t>
      </w:r>
      <w:r w:rsidR="006352C3">
        <w:t xml:space="preserve">the </w:t>
      </w:r>
      <w:r w:rsidR="007A4220">
        <w:t xml:space="preserve">kind of </w:t>
      </w:r>
      <w:r w:rsidR="006352C3">
        <w:t xml:space="preserve">higher-level </w:t>
      </w:r>
      <w:r w:rsidR="007A4220">
        <w:t xml:space="preserve">principle </w:t>
      </w:r>
      <w:r w:rsidR="006352C3">
        <w:t xml:space="preserve">that </w:t>
      </w:r>
      <w:r>
        <w:t>set</w:t>
      </w:r>
      <w:r w:rsidR="007A4220">
        <w:t>s</w:t>
      </w:r>
      <w:r>
        <w:t xml:space="preserve"> direction and guide</w:t>
      </w:r>
      <w:r w:rsidR="007A4220">
        <w:t>s</w:t>
      </w:r>
      <w:r>
        <w:t xml:space="preserve"> and influence</w:t>
      </w:r>
      <w:r w:rsidR="007A4220">
        <w:t>s</w:t>
      </w:r>
      <w:r>
        <w:t xml:space="preserve"> decision</w:t>
      </w:r>
      <w:r w:rsidR="007A4220">
        <w:t>-</w:t>
      </w:r>
      <w:r>
        <w:t>making</w:t>
      </w:r>
      <w:r w:rsidR="006352C3">
        <w:t xml:space="preserve">. </w:t>
      </w:r>
      <w:r w:rsidR="007A4220">
        <w:t>An example of a</w:t>
      </w:r>
      <w:r w:rsidR="00D52888">
        <w:t xml:space="preserve"> high-level policy might be </w:t>
      </w:r>
      <w:r w:rsidR="007A4220">
        <w:t xml:space="preserve">a stated ambition </w:t>
      </w:r>
      <w:r w:rsidR="00D52888">
        <w:t xml:space="preserve">to reduce </w:t>
      </w:r>
      <w:r w:rsidR="007A4220">
        <w:t xml:space="preserve">the emissions of </w:t>
      </w:r>
      <w:r w:rsidR="00D52888">
        <w:t xml:space="preserve">carbon </w:t>
      </w:r>
      <w:r w:rsidR="007A4220">
        <w:t>that are</w:t>
      </w:r>
      <w:r w:rsidR="00D52888">
        <w:t xml:space="preserve"> associated with climate change. </w:t>
      </w:r>
      <w:r w:rsidR="007A4220">
        <w:t>Beneath this, there may be more specific policies, such as measures</w:t>
      </w:r>
      <w:r w:rsidR="00D52888">
        <w:t xml:space="preserve"> to decarbonise transport emissions.</w:t>
      </w:r>
      <w:r w:rsidR="007A4220">
        <w:t xml:space="preserve"> And beneath these again, there may be other guidelines designed to meet the goals of the higher-level policies. This report refers to such lower-order measures as “policy </w:t>
      </w:r>
      <w:r w:rsidR="0054193B">
        <w:t>actions</w:t>
      </w:r>
      <w:r w:rsidR="007A4220">
        <w:t xml:space="preserve">”. Policy </w:t>
      </w:r>
      <w:r w:rsidR="0054193B">
        <w:t>actions</w:t>
      </w:r>
      <w:r w:rsidR="007A4220">
        <w:t xml:space="preserve"> </w:t>
      </w:r>
      <w:r w:rsidR="00D52888">
        <w:t xml:space="preserve">tend to </w:t>
      </w:r>
      <w:r w:rsidR="007A4220">
        <w:t>guide</w:t>
      </w:r>
      <w:r w:rsidR="00D52888">
        <w:t xml:space="preserve"> </w:t>
      </w:r>
      <w:r w:rsidR="009026F5">
        <w:t xml:space="preserve">activities </w:t>
      </w:r>
      <w:r w:rsidR="00D52888">
        <w:t xml:space="preserve">taken in the short </w:t>
      </w:r>
      <w:proofErr w:type="gramStart"/>
      <w:r w:rsidR="00D52888">
        <w:t>term</w:t>
      </w:r>
      <w:r w:rsidR="007A4220">
        <w:t>,</w:t>
      </w:r>
      <w:r w:rsidR="00D52888">
        <w:t xml:space="preserve"> and</w:t>
      </w:r>
      <w:proofErr w:type="gramEnd"/>
      <w:r w:rsidR="00D52888">
        <w:t xml:space="preserve"> are of particular interest </w:t>
      </w:r>
      <w:r w:rsidR="007A4220">
        <w:t xml:space="preserve">to </w:t>
      </w:r>
      <w:r w:rsidR="00D52888">
        <w:t>this report because these describe what PICTs can start to do, to best prepare for and encourage the uptake of those EV technologies that are desirable.</w:t>
      </w:r>
    </w:p>
    <w:p w14:paraId="085A9D91" w14:textId="76674F61" w:rsidR="00B477EA" w:rsidRPr="00B75D55" w:rsidRDefault="00335784" w:rsidP="00B75D55">
      <w:pPr>
        <w:pStyle w:val="Heading2"/>
        <w:spacing w:after="120"/>
        <w:ind w:left="426" w:hanging="426"/>
        <w:rPr>
          <w:rFonts w:asciiTheme="minorHAnsi" w:hAnsiTheme="minorHAnsi" w:cstheme="minorHAnsi"/>
          <w:b/>
          <w:color w:val="1F3864" w:themeColor="accent1" w:themeShade="80"/>
          <w:sz w:val="22"/>
          <w:szCs w:val="32"/>
        </w:rPr>
      </w:pPr>
      <w:bookmarkStart w:id="22" w:name="_Toc38034045"/>
      <w:r w:rsidRPr="00B75D55">
        <w:rPr>
          <w:rFonts w:asciiTheme="minorHAnsi" w:hAnsiTheme="minorHAnsi" w:cstheme="minorHAnsi"/>
          <w:b/>
          <w:color w:val="1F3864" w:themeColor="accent1" w:themeShade="80"/>
          <w:sz w:val="22"/>
          <w:szCs w:val="32"/>
        </w:rPr>
        <w:t xml:space="preserve">PICT </w:t>
      </w:r>
      <w:r w:rsidR="00B477EA" w:rsidRPr="00B75D55">
        <w:rPr>
          <w:rFonts w:asciiTheme="minorHAnsi" w:hAnsiTheme="minorHAnsi" w:cstheme="minorHAnsi"/>
          <w:b/>
          <w:color w:val="1F3864" w:themeColor="accent1" w:themeShade="80"/>
          <w:sz w:val="22"/>
          <w:szCs w:val="32"/>
        </w:rPr>
        <w:t>EV</w:t>
      </w:r>
      <w:r w:rsidRPr="00B75D55">
        <w:rPr>
          <w:rFonts w:asciiTheme="minorHAnsi" w:hAnsiTheme="minorHAnsi" w:cstheme="minorHAnsi"/>
          <w:b/>
          <w:color w:val="1F3864" w:themeColor="accent1" w:themeShade="80"/>
          <w:sz w:val="22"/>
          <w:szCs w:val="32"/>
        </w:rPr>
        <w:t>-Related Policy and Activities</w:t>
      </w:r>
      <w:bookmarkEnd w:id="22"/>
      <w:r w:rsidRPr="00B75D55">
        <w:rPr>
          <w:rFonts w:asciiTheme="minorHAnsi" w:hAnsiTheme="minorHAnsi" w:cstheme="minorHAnsi"/>
          <w:b/>
          <w:color w:val="1F3864" w:themeColor="accent1" w:themeShade="80"/>
          <w:sz w:val="22"/>
          <w:szCs w:val="32"/>
        </w:rPr>
        <w:t xml:space="preserve"> </w:t>
      </w:r>
    </w:p>
    <w:p w14:paraId="175B895D" w14:textId="745D376B" w:rsidR="00317CFC" w:rsidRPr="002F47F6" w:rsidRDefault="00370AD7" w:rsidP="000C48B8">
      <w:pPr>
        <w:spacing w:after="120" w:line="216" w:lineRule="auto"/>
      </w:pPr>
      <w:r w:rsidRPr="002F47F6">
        <w:t>Over the last decade, many</w:t>
      </w:r>
      <w:r w:rsidR="0094114D" w:rsidRPr="002F47F6">
        <w:t xml:space="preserve"> PICTs</w:t>
      </w:r>
      <w:r w:rsidRPr="002F47F6">
        <w:t xml:space="preserve"> have devoted their attention to</w:t>
      </w:r>
      <w:r w:rsidR="0094114D" w:rsidRPr="002F47F6">
        <w:t xml:space="preserve"> developing energy- and transport-related strategies, frameworks and policies</w:t>
      </w:r>
      <w:r w:rsidR="00716DF5" w:rsidRPr="002F47F6">
        <w:t xml:space="preserve"> and activities</w:t>
      </w:r>
      <w:r w:rsidR="0094114D" w:rsidRPr="002F47F6">
        <w:t>.</w:t>
      </w:r>
      <w:r w:rsidR="00B27F2A" w:rsidRPr="002F47F6">
        <w:t xml:space="preserve"> </w:t>
      </w:r>
      <w:r w:rsidRPr="002F47F6">
        <w:t>Most of</w:t>
      </w:r>
      <w:r w:rsidR="0094114D" w:rsidRPr="002F47F6">
        <w:t xml:space="preserve"> these have</w:t>
      </w:r>
      <w:r w:rsidR="00427CC0" w:rsidRPr="002F47F6">
        <w:t xml:space="preserve"> </w:t>
      </w:r>
      <w:r w:rsidRPr="002F47F6">
        <w:t xml:space="preserve">had little to say about </w:t>
      </w:r>
      <w:r w:rsidR="0094114D" w:rsidRPr="002F47F6">
        <w:t xml:space="preserve">electric vehicles, although </w:t>
      </w:r>
      <w:r w:rsidRPr="002F47F6">
        <w:t xml:space="preserve">EVs </w:t>
      </w:r>
      <w:r w:rsidR="00D611E9" w:rsidRPr="002F47F6">
        <w:t xml:space="preserve">could be included </w:t>
      </w:r>
      <w:r w:rsidRPr="002F47F6">
        <w:t xml:space="preserve">where they speak </w:t>
      </w:r>
      <w:r w:rsidR="00D611E9" w:rsidRPr="002F47F6">
        <w:t xml:space="preserve">in broad terms </w:t>
      </w:r>
      <w:r w:rsidRPr="002F47F6">
        <w:t>of</w:t>
      </w:r>
      <w:r w:rsidR="00B27F2A" w:rsidRPr="002F47F6">
        <w:t xml:space="preserve"> </w:t>
      </w:r>
      <w:r w:rsidR="00647556" w:rsidRPr="002F47F6">
        <w:t>“</w:t>
      </w:r>
      <w:r w:rsidR="0094114D" w:rsidRPr="002F47F6">
        <w:t xml:space="preserve">low emission </w:t>
      </w:r>
      <w:r w:rsidR="00BD2BFF" w:rsidRPr="002F47F6">
        <w:t xml:space="preserve">transport </w:t>
      </w:r>
      <w:r w:rsidR="0094114D" w:rsidRPr="002F47F6">
        <w:t>technologies</w:t>
      </w:r>
      <w:r w:rsidR="00647556" w:rsidRPr="002F47F6">
        <w:t>”</w:t>
      </w:r>
      <w:r w:rsidRPr="002F47F6">
        <w:t xml:space="preserve">. </w:t>
      </w:r>
      <w:r w:rsidR="00A27830" w:rsidRPr="002F47F6">
        <w:t xml:space="preserve">Some </w:t>
      </w:r>
      <w:r w:rsidR="006B4962" w:rsidRPr="002F47F6">
        <w:t xml:space="preserve">are </w:t>
      </w:r>
      <w:r w:rsidR="00A27830" w:rsidRPr="002F47F6">
        <w:t xml:space="preserve">also </w:t>
      </w:r>
      <w:r w:rsidR="006B4962" w:rsidRPr="002F47F6">
        <w:t>outdated</w:t>
      </w:r>
      <w:r w:rsidR="00A27830" w:rsidRPr="002F47F6">
        <w:t xml:space="preserve">, possibly </w:t>
      </w:r>
      <w:r w:rsidR="006B4962" w:rsidRPr="002F47F6">
        <w:t xml:space="preserve">due to the rapid advances that have been </w:t>
      </w:r>
      <w:r w:rsidR="006B4962" w:rsidRPr="002F47F6">
        <w:lastRenderedPageBreak/>
        <w:t>made in the EV sector (for example, the Nauru Energy Road Map 2014 – 2020</w:t>
      </w:r>
      <w:r w:rsidR="006B4962" w:rsidRPr="002F47F6">
        <w:rPr>
          <w:rStyle w:val="FootnoteReference"/>
        </w:rPr>
        <w:footnoteReference w:id="5"/>
      </w:r>
      <w:r w:rsidR="006B4962" w:rsidRPr="002F47F6">
        <w:t xml:space="preserve"> states: </w:t>
      </w:r>
      <w:r w:rsidR="002443DF" w:rsidRPr="002F47F6">
        <w:t>“</w:t>
      </w:r>
      <w:r w:rsidR="006B4962" w:rsidRPr="000C48B8">
        <w:t>fully electric vehicles are far from becoming a commercial reality in practice even worldwide</w:t>
      </w:r>
      <w:r w:rsidR="002443DF" w:rsidRPr="00BF6818">
        <w:t>”</w:t>
      </w:r>
      <w:r w:rsidRPr="00BF6818">
        <w:t>)</w:t>
      </w:r>
      <w:r w:rsidR="002443DF" w:rsidRPr="00BF6818">
        <w:t>.</w:t>
      </w:r>
      <w:r w:rsidR="006B4962" w:rsidRPr="002F47F6">
        <w:t xml:space="preserve"> </w:t>
      </w:r>
    </w:p>
    <w:p w14:paraId="2DB1656A" w14:textId="77777777" w:rsidR="007B5F8A" w:rsidRPr="002F47F6" w:rsidRDefault="00370AD7">
      <w:pPr>
        <w:spacing w:after="120" w:line="216" w:lineRule="auto"/>
      </w:pPr>
      <w:r w:rsidRPr="002F47F6">
        <w:t>E</w:t>
      </w:r>
      <w:r w:rsidR="00317CFC" w:rsidRPr="002F47F6">
        <w:t>xceptions to this include</w:t>
      </w:r>
      <w:r w:rsidR="007B5F8A" w:rsidRPr="002F47F6">
        <w:t xml:space="preserve"> the following:</w:t>
      </w:r>
    </w:p>
    <w:p w14:paraId="098C68EE" w14:textId="77777777" w:rsidR="00427CC0" w:rsidRPr="002F47F6" w:rsidRDefault="0094114D">
      <w:pPr>
        <w:pStyle w:val="ListParagraph"/>
        <w:numPr>
          <w:ilvl w:val="0"/>
          <w:numId w:val="6"/>
        </w:numPr>
        <w:spacing w:after="120" w:line="216" w:lineRule="auto"/>
      </w:pPr>
      <w:r w:rsidRPr="002F47F6">
        <w:t>Fiji’s Low Emission Development Strategy 2018-2050</w:t>
      </w:r>
      <w:r w:rsidR="00647556" w:rsidRPr="002F47F6">
        <w:t>,</w:t>
      </w:r>
      <w:r w:rsidRPr="002F47F6">
        <w:t xml:space="preserve"> which </w:t>
      </w:r>
      <w:r w:rsidR="00B27F2A" w:rsidRPr="002F47F6">
        <w:t>views EVs as an important tool to meet future emissions targets</w:t>
      </w:r>
      <w:r w:rsidR="002443DF" w:rsidRPr="002F47F6">
        <w:t>,</w:t>
      </w:r>
      <w:r w:rsidR="00B27F2A" w:rsidRPr="002F47F6">
        <w:t xml:space="preserve"> and EVs feature strongly in </w:t>
      </w:r>
      <w:r w:rsidR="002443DF" w:rsidRPr="002F47F6">
        <w:t xml:space="preserve">the </w:t>
      </w:r>
      <w:r w:rsidR="00B27F2A" w:rsidRPr="002F47F6">
        <w:t>scenario mode</w:t>
      </w:r>
      <w:r w:rsidR="00A27830" w:rsidRPr="002F47F6">
        <w:t>l</w:t>
      </w:r>
      <w:r w:rsidR="00B27F2A" w:rsidRPr="002F47F6">
        <w:t>ling undertaken</w:t>
      </w:r>
      <w:r w:rsidR="00510016" w:rsidRPr="002F47F6">
        <w:t xml:space="preserve"> </w:t>
      </w:r>
      <w:r w:rsidR="00370AD7" w:rsidRPr="002F47F6">
        <w:t xml:space="preserve">to </w:t>
      </w:r>
      <w:r w:rsidR="00510016" w:rsidRPr="002F47F6">
        <w:t>support th</w:t>
      </w:r>
      <w:r w:rsidR="00647556" w:rsidRPr="002F47F6">
        <w:t>is</w:t>
      </w:r>
      <w:r w:rsidR="00510016" w:rsidRPr="002F47F6">
        <w:t xml:space="preserve"> strategy</w:t>
      </w:r>
      <w:r w:rsidR="00B27F2A" w:rsidRPr="002F47F6">
        <w:t xml:space="preserve">. This work </w:t>
      </w:r>
      <w:r w:rsidR="00647556" w:rsidRPr="002F47F6">
        <w:t xml:space="preserve">also </w:t>
      </w:r>
      <w:r w:rsidR="00B27F2A" w:rsidRPr="002F47F6">
        <w:t>recommend</w:t>
      </w:r>
      <w:r w:rsidR="002443DF" w:rsidRPr="002F47F6">
        <w:t>ed</w:t>
      </w:r>
      <w:r w:rsidR="00B27F2A" w:rsidRPr="002F47F6">
        <w:t xml:space="preserve"> the development of “an EV roadmap for Fiji that identifies which vehicle segments and areas to focus on and details the intervention strategies and financial means</w:t>
      </w:r>
      <w:r w:rsidR="00370AD7" w:rsidRPr="002F47F6">
        <w:t>,</w:t>
      </w:r>
      <w:r w:rsidR="00B27F2A" w:rsidRPr="002F47F6">
        <w:t>”</w:t>
      </w:r>
      <w:r w:rsidR="00510016" w:rsidRPr="002F47F6">
        <w:t xml:space="preserve"> suggesting </w:t>
      </w:r>
      <w:r w:rsidR="00370AD7" w:rsidRPr="002F47F6">
        <w:t xml:space="preserve">that </w:t>
      </w:r>
      <w:r w:rsidR="00510016" w:rsidRPr="002F47F6">
        <w:t xml:space="preserve">any EV </w:t>
      </w:r>
      <w:proofErr w:type="spellStart"/>
      <w:r w:rsidR="00510016" w:rsidRPr="002F47F6">
        <w:t>roadmapping</w:t>
      </w:r>
      <w:proofErr w:type="spellEnd"/>
      <w:r w:rsidR="00510016" w:rsidRPr="002F47F6">
        <w:t xml:space="preserve"> is at a very early stage. </w:t>
      </w:r>
    </w:p>
    <w:p w14:paraId="6AA228A2" w14:textId="77777777" w:rsidR="00317CFC" w:rsidRPr="002F47F6" w:rsidRDefault="00BD2BFF">
      <w:pPr>
        <w:spacing w:after="120" w:line="216" w:lineRule="auto"/>
        <w:ind w:left="812"/>
      </w:pPr>
      <w:r w:rsidRPr="002F47F6">
        <w:t xml:space="preserve">Fiji has </w:t>
      </w:r>
      <w:r w:rsidR="00370AD7" w:rsidRPr="002F47F6">
        <w:t xml:space="preserve">nevertheless </w:t>
      </w:r>
      <w:r w:rsidRPr="002F47F6">
        <w:t xml:space="preserve">been encouraging the uptake of EVs (and </w:t>
      </w:r>
      <w:r w:rsidR="00427CC0" w:rsidRPr="002F47F6">
        <w:t xml:space="preserve">non-plug-in </w:t>
      </w:r>
      <w:r w:rsidRPr="002F47F6">
        <w:t>hybrid electric vehicle</w:t>
      </w:r>
      <w:r w:rsidR="00370AD7" w:rsidRPr="002F47F6">
        <w:t>s</w:t>
      </w:r>
      <w:r w:rsidRPr="002F47F6">
        <w:t xml:space="preserve"> also</w:t>
      </w:r>
      <w:r w:rsidR="00427CC0" w:rsidRPr="002F47F6">
        <w:t>) through reducing the duties and taxes that apply to them</w:t>
      </w:r>
      <w:r w:rsidR="00370AD7" w:rsidRPr="002F47F6">
        <w:t>,</w:t>
      </w:r>
      <w:r w:rsidR="00647556" w:rsidRPr="002F47F6">
        <w:rPr>
          <w:rStyle w:val="FootnoteReference"/>
        </w:rPr>
        <w:footnoteReference w:id="6"/>
      </w:r>
      <w:r w:rsidR="009919BC" w:rsidRPr="002F47F6">
        <w:t xml:space="preserve"> and has been active in considering the future of EVs in </w:t>
      </w:r>
      <w:r w:rsidR="00317CFC" w:rsidRPr="002F47F6">
        <w:t>transport planning work (for example: including the 6 August 2019 workshop “Electrification of Transport Sector: Data Audits and Strategies &amp; the Potential of Electric Vehicles in Fiji”</w:t>
      </w:r>
      <w:r w:rsidR="00317CFC" w:rsidRPr="002F47F6">
        <w:rPr>
          <w:rStyle w:val="FootnoteReference"/>
        </w:rPr>
        <w:footnoteReference w:id="7"/>
      </w:r>
      <w:r w:rsidR="00317CFC" w:rsidRPr="002F47F6">
        <w:t xml:space="preserve">). </w:t>
      </w:r>
    </w:p>
    <w:p w14:paraId="69FDB534" w14:textId="77777777" w:rsidR="00AA2E93" w:rsidRPr="002F47F6" w:rsidRDefault="00370AD7">
      <w:pPr>
        <w:pStyle w:val="ListParagraph"/>
        <w:numPr>
          <w:ilvl w:val="0"/>
          <w:numId w:val="6"/>
        </w:numPr>
        <w:spacing w:after="120" w:line="216" w:lineRule="auto"/>
      </w:pPr>
      <w:r w:rsidRPr="002F47F6">
        <w:t xml:space="preserve">In its Marshall Islands Electricity Roadmap (December 2018), </w:t>
      </w:r>
      <w:r w:rsidR="00317CFC" w:rsidRPr="002F47F6">
        <w:t xml:space="preserve">RMI has </w:t>
      </w:r>
      <w:r w:rsidR="00BD505C" w:rsidRPr="002F47F6">
        <w:t xml:space="preserve">noted the potential to integrate the demand from EVs with </w:t>
      </w:r>
      <w:r w:rsidRPr="002F47F6">
        <w:t xml:space="preserve">grid </w:t>
      </w:r>
      <w:r w:rsidR="00BD505C" w:rsidRPr="002F47F6">
        <w:t>supply</w:t>
      </w:r>
      <w:r w:rsidRPr="002F47F6">
        <w:t>.</w:t>
      </w:r>
      <w:r w:rsidR="00510016" w:rsidRPr="002F47F6">
        <w:rPr>
          <w:rStyle w:val="FootnoteReference"/>
        </w:rPr>
        <w:footnoteReference w:id="8"/>
      </w:r>
      <w:r w:rsidR="00AA2E93" w:rsidRPr="002F47F6">
        <w:t xml:space="preserve"> Their NDC report (The Republic of the Marshall Islands Nationally Determined Contribution, 22 November 2018</w:t>
      </w:r>
      <w:r w:rsidR="00AA2E93" w:rsidRPr="002F47F6">
        <w:rPr>
          <w:rStyle w:val="FootnoteReference"/>
        </w:rPr>
        <w:footnoteReference w:id="9"/>
      </w:r>
      <w:r w:rsidR="00AA2E93" w:rsidRPr="002F47F6">
        <w:t>) also indicates that consideration will be</w:t>
      </w:r>
      <w:r w:rsidRPr="002F47F6">
        <w:t xml:space="preserve"> given </w:t>
      </w:r>
      <w:r w:rsidR="00AA2E93" w:rsidRPr="002F47F6">
        <w:t xml:space="preserve">to </w:t>
      </w:r>
      <w:r w:rsidRPr="002F47F6">
        <w:t xml:space="preserve">providing </w:t>
      </w:r>
      <w:r w:rsidR="00AA2E93" w:rsidRPr="000C48B8">
        <w:t>tax incentives for</w:t>
      </w:r>
      <w:r w:rsidR="00AA2E93" w:rsidRPr="00BF6818">
        <w:t xml:space="preserve"> the importation of electric vehicles; transitioning the Government fleet to electric vehicles; transitioning the taxi fleet to electric vehicles; and the use of golf carts.</w:t>
      </w:r>
    </w:p>
    <w:p w14:paraId="451D6A60" w14:textId="77777777" w:rsidR="00986993" w:rsidRPr="002F47F6" w:rsidRDefault="00986993">
      <w:pPr>
        <w:pStyle w:val="ListParagraph"/>
        <w:numPr>
          <w:ilvl w:val="0"/>
          <w:numId w:val="6"/>
        </w:numPr>
        <w:spacing w:after="120" w:line="216" w:lineRule="auto"/>
      </w:pPr>
      <w:r w:rsidRPr="002F47F6">
        <w:t>And some PICTs have had to amend or disregard vehicle registration requirements in order to allow EVs</w:t>
      </w:r>
      <w:r w:rsidR="00647556" w:rsidRPr="002F47F6">
        <w:t>,</w:t>
      </w:r>
      <w:r w:rsidRPr="002F47F6">
        <w:t xml:space="preserve"> without petroleum-fue</w:t>
      </w:r>
      <w:r w:rsidR="00A27830" w:rsidRPr="002F47F6">
        <w:t>l</w:t>
      </w:r>
      <w:r w:rsidRPr="002F47F6">
        <w:t>led engines</w:t>
      </w:r>
      <w:r w:rsidR="00647556" w:rsidRPr="002F47F6">
        <w:t>,</w:t>
      </w:r>
      <w:r w:rsidRPr="002F47F6">
        <w:t xml:space="preserve"> to enter the fleet. </w:t>
      </w:r>
    </w:p>
    <w:p w14:paraId="1486C097" w14:textId="77777777" w:rsidR="00C94081" w:rsidRPr="002F47F6" w:rsidRDefault="003C1A22">
      <w:pPr>
        <w:spacing w:after="120" w:line="216" w:lineRule="auto"/>
      </w:pPr>
      <w:r w:rsidRPr="002F47F6">
        <w:t xml:space="preserve">But there are also secondary consequences to be considered. For example, </w:t>
      </w:r>
      <w:r w:rsidR="001D7AF5" w:rsidRPr="002F47F6">
        <w:t xml:space="preserve">where </w:t>
      </w:r>
      <w:r w:rsidRPr="002F47F6">
        <w:t>PICTs have high proportions of diesel-generated electricity in the grid mix</w:t>
      </w:r>
      <w:r w:rsidR="00890CBC" w:rsidRPr="002F47F6">
        <w:t xml:space="preserve">, </w:t>
      </w:r>
      <w:r w:rsidRPr="002F47F6">
        <w:t xml:space="preserve">increased demand from EV charging </w:t>
      </w:r>
      <w:r w:rsidR="008471A8" w:rsidRPr="002F47F6">
        <w:t xml:space="preserve">might </w:t>
      </w:r>
      <w:r w:rsidRPr="002F47F6">
        <w:t>increase diesel consumption</w:t>
      </w:r>
      <w:r w:rsidR="00A27830" w:rsidRPr="002F47F6">
        <w:t xml:space="preserve"> for the electricity sector</w:t>
      </w:r>
      <w:r w:rsidR="001D7AF5" w:rsidRPr="002F47F6">
        <w:t>,</w:t>
      </w:r>
      <w:r w:rsidR="0062191D" w:rsidRPr="002F47F6">
        <w:t xml:space="preserve"> increasing </w:t>
      </w:r>
      <w:r w:rsidRPr="002F47F6">
        <w:t xml:space="preserve">carbon emissions </w:t>
      </w:r>
      <w:r w:rsidR="00890CBC" w:rsidRPr="002F47F6">
        <w:t>from</w:t>
      </w:r>
      <w:r w:rsidRPr="002F47F6">
        <w:t xml:space="preserve"> electricity production</w:t>
      </w:r>
      <w:r w:rsidR="0062191D" w:rsidRPr="002F47F6">
        <w:t xml:space="preserve"> and decreasing the proportion of renewable generation,</w:t>
      </w:r>
      <w:r w:rsidR="00647556" w:rsidRPr="002F47F6">
        <w:t xml:space="preserve"> and this may not fit well with targets set by the particular government.</w:t>
      </w:r>
      <w:r w:rsidR="0062191D" w:rsidRPr="002F47F6">
        <w:t xml:space="preserve"> </w:t>
      </w:r>
      <w:r w:rsidR="008471A8" w:rsidRPr="002F47F6">
        <w:t>For example,</w:t>
      </w:r>
      <w:r w:rsidR="00067401" w:rsidRPr="002F47F6">
        <w:t xml:space="preserve"> the effect of charging</w:t>
      </w:r>
      <w:r w:rsidR="00647556" w:rsidRPr="002F47F6">
        <w:t xml:space="preserve"> EVs </w:t>
      </w:r>
      <w:r w:rsidR="008471A8" w:rsidRPr="002F47F6">
        <w:t xml:space="preserve">is not necessarily a good fit with Tonga’s NDC target to increase the proportion of renewable generation to 70% by 2030. </w:t>
      </w:r>
      <w:r w:rsidR="001D7AF5" w:rsidRPr="002F47F6">
        <w:t>All the same</w:t>
      </w:r>
      <w:r w:rsidR="00922C3B" w:rsidRPr="002F47F6">
        <w:t xml:space="preserve">, EVs may present an inconsequential new demand for Tonga </w:t>
      </w:r>
      <w:r w:rsidR="001D7AF5" w:rsidRPr="002F47F6">
        <w:t xml:space="preserve">even as far out as </w:t>
      </w:r>
      <w:r w:rsidR="00922C3B" w:rsidRPr="002F47F6">
        <w:t>2030.</w:t>
      </w:r>
    </w:p>
    <w:p w14:paraId="109720EC" w14:textId="77777777" w:rsidR="00C94081" w:rsidRPr="002F47F6" w:rsidRDefault="00C94081">
      <w:pPr>
        <w:spacing w:after="120" w:line="216" w:lineRule="auto"/>
      </w:pPr>
      <w:r w:rsidRPr="002F47F6">
        <w:t>Th</w:t>
      </w:r>
      <w:r w:rsidR="006D1FA4" w:rsidRPr="002F47F6">
        <w:t>is</w:t>
      </w:r>
      <w:r w:rsidRPr="002F47F6">
        <w:t xml:space="preserve"> potential for conflict appears well understood by </w:t>
      </w:r>
      <w:r w:rsidR="006D1FA4" w:rsidRPr="002F47F6">
        <w:t xml:space="preserve">some. </w:t>
      </w:r>
      <w:r w:rsidRPr="000C48B8">
        <w:t>Fiji’s Low Emission Development Strategy 2018-2050</w:t>
      </w:r>
      <w:r w:rsidRPr="000C48B8">
        <w:rPr>
          <w:rStyle w:val="FootnoteReference"/>
        </w:rPr>
        <w:footnoteReference w:id="10"/>
      </w:r>
      <w:r w:rsidRPr="000C48B8">
        <w:t xml:space="preserve"> </w:t>
      </w:r>
      <w:r w:rsidR="001D7AF5" w:rsidRPr="002F47F6">
        <w:t>remarked that</w:t>
      </w:r>
      <w:r w:rsidRPr="000C48B8">
        <w:t xml:space="preserve"> “</w:t>
      </w:r>
      <w:r w:rsidRPr="00BF6818">
        <w:rPr>
          <w:i/>
          <w:iCs/>
        </w:rPr>
        <w:t>To achieve maximum emission mitigation, all new EVs should be charged using electricity from renewable sources. If this were not the case, GHG emissions in the electricity sector would continue to increase”</w:t>
      </w:r>
      <w:r w:rsidR="00922C3B" w:rsidRPr="00BF6818">
        <w:rPr>
          <w:i/>
          <w:iCs/>
        </w:rPr>
        <w:t>.</w:t>
      </w:r>
      <w:r w:rsidRPr="000C48B8">
        <w:rPr>
          <w:rStyle w:val="FootnoteReference"/>
          <w:i/>
          <w:iCs/>
        </w:rPr>
        <w:footnoteReference w:id="11"/>
      </w:r>
      <w:r w:rsidR="006D1FA4" w:rsidRPr="000C48B8">
        <w:rPr>
          <w:i/>
          <w:iCs/>
        </w:rPr>
        <w:t xml:space="preserve"> </w:t>
      </w:r>
    </w:p>
    <w:p w14:paraId="10D6BCD4" w14:textId="77777777" w:rsidR="00922C3B" w:rsidRPr="002F47F6" w:rsidRDefault="00922C3B">
      <w:pPr>
        <w:spacing w:after="120" w:line="216" w:lineRule="auto"/>
      </w:pPr>
      <w:r w:rsidRPr="000C48B8">
        <w:t>The transport sector also features in many PICT NDC commitments. However, t</w:t>
      </w:r>
      <w:r w:rsidRPr="00BF6818">
        <w:t xml:space="preserve">here is little mention of how EVs may play a part in meeting the targets </w:t>
      </w:r>
      <w:r w:rsidR="001D7AF5" w:rsidRPr="002F47F6">
        <w:t>apart from</w:t>
      </w:r>
      <w:r w:rsidRPr="000C48B8">
        <w:t xml:space="preserve"> a recommendation by RMI to “consider policies to require Government departments and agencies to transition to electric vehicles”.</w:t>
      </w:r>
      <w:r w:rsidRPr="000C48B8">
        <w:rPr>
          <w:rStyle w:val="FootnoteReference"/>
        </w:rPr>
        <w:footnoteReference w:id="12"/>
      </w:r>
      <w:r w:rsidRPr="000C48B8">
        <w:t xml:space="preserve"> </w:t>
      </w:r>
      <w:r w:rsidR="008471A8" w:rsidRPr="002F47F6">
        <w:t>In this regard</w:t>
      </w:r>
      <w:r w:rsidR="00067401" w:rsidRPr="002F47F6">
        <w:t xml:space="preserve">, apart from the examples provided above, </w:t>
      </w:r>
      <w:r w:rsidR="008471A8" w:rsidRPr="002F47F6">
        <w:t>m</w:t>
      </w:r>
      <w:r w:rsidR="00067401" w:rsidRPr="002F47F6">
        <w:t>ost</w:t>
      </w:r>
      <w:r w:rsidR="008471A8" w:rsidRPr="002F47F6">
        <w:t xml:space="preserve"> electricity-</w:t>
      </w:r>
      <w:r w:rsidRPr="002F47F6">
        <w:t xml:space="preserve">, transport- and </w:t>
      </w:r>
      <w:r w:rsidR="008471A8" w:rsidRPr="002F47F6">
        <w:t>NDC</w:t>
      </w:r>
      <w:r w:rsidRPr="002F47F6">
        <w:t xml:space="preserve">-related </w:t>
      </w:r>
      <w:r w:rsidR="008471A8" w:rsidRPr="002F47F6">
        <w:t xml:space="preserve">targets </w:t>
      </w:r>
      <w:r w:rsidR="00067401" w:rsidRPr="002F47F6">
        <w:t xml:space="preserve">appear to </w:t>
      </w:r>
      <w:r w:rsidRPr="002F47F6">
        <w:t>neither support the uptake of EVs nor oppose it.</w:t>
      </w:r>
    </w:p>
    <w:p w14:paraId="1916C23F" w14:textId="38F87CDF" w:rsidR="00BD505C" w:rsidRDefault="00922C3B">
      <w:pPr>
        <w:spacing w:after="120" w:line="216" w:lineRule="auto"/>
      </w:pPr>
      <w:r w:rsidRPr="002F47F6">
        <w:lastRenderedPageBreak/>
        <w:t xml:space="preserve">Overall, </w:t>
      </w:r>
      <w:r w:rsidR="00067401" w:rsidRPr="002F47F6">
        <w:t xml:space="preserve">apart from activity in Fiji supported by GGGI, </w:t>
      </w:r>
      <w:r w:rsidR="00BD505C" w:rsidRPr="002F47F6">
        <w:t>there seem</w:t>
      </w:r>
      <w:r w:rsidRPr="002F47F6">
        <w:t xml:space="preserve">s to be </w:t>
      </w:r>
      <w:r w:rsidR="00BD505C" w:rsidRPr="002F47F6">
        <w:t>little in the way of planning</w:t>
      </w:r>
      <w:r w:rsidR="00AA2E93" w:rsidRPr="002F47F6">
        <w:t xml:space="preserve">, </w:t>
      </w:r>
      <w:r w:rsidR="00510016" w:rsidRPr="002F47F6">
        <w:t xml:space="preserve">policy work </w:t>
      </w:r>
      <w:r w:rsidR="00AA2E93" w:rsidRPr="002F47F6">
        <w:t xml:space="preserve">or policy </w:t>
      </w:r>
      <w:r w:rsidR="0054193B">
        <w:t>actions</w:t>
      </w:r>
      <w:r w:rsidR="00AA2E93" w:rsidRPr="002F47F6">
        <w:t xml:space="preserve"> </w:t>
      </w:r>
      <w:r w:rsidR="00510016" w:rsidRPr="002F47F6">
        <w:t>in</w:t>
      </w:r>
      <w:r w:rsidRPr="002F47F6">
        <w:t xml:space="preserve"> place for EVs</w:t>
      </w:r>
      <w:r w:rsidR="008471A8" w:rsidRPr="002F47F6">
        <w:t>,</w:t>
      </w:r>
      <w:r w:rsidR="00BD505C" w:rsidRPr="002F47F6">
        <w:t xml:space="preserve"> </w:t>
      </w:r>
      <w:r w:rsidR="001D7AF5" w:rsidRPr="002F47F6">
        <w:t>which means that anyone providing</w:t>
      </w:r>
      <w:r w:rsidR="00BD505C" w:rsidRPr="002F47F6">
        <w:t xml:space="preserve"> </w:t>
      </w:r>
      <w:r w:rsidR="008471A8" w:rsidRPr="002F47F6">
        <w:t>EV policy recommendation</w:t>
      </w:r>
      <w:r w:rsidR="00BD505C" w:rsidRPr="002F47F6">
        <w:t xml:space="preserve">s </w:t>
      </w:r>
      <w:r w:rsidR="001D7AF5" w:rsidRPr="002F47F6">
        <w:t>is presented with something of a blank canvas</w:t>
      </w:r>
      <w:r w:rsidR="00BD505C" w:rsidRPr="002F47F6">
        <w:t>.</w:t>
      </w:r>
    </w:p>
    <w:p w14:paraId="4B9AC915" w14:textId="77777777" w:rsidR="002711D7" w:rsidRPr="00181092" w:rsidRDefault="002711D7">
      <w:pPr>
        <w:spacing w:after="120" w:line="216" w:lineRule="auto"/>
        <w:rPr>
          <w:sz w:val="6"/>
          <w:szCs w:val="6"/>
        </w:rPr>
      </w:pPr>
    </w:p>
    <w:p w14:paraId="1926AB54" w14:textId="081B3E89" w:rsidR="00BD505C" w:rsidRPr="00B75D55" w:rsidRDefault="00BD505C" w:rsidP="00B75D55">
      <w:pPr>
        <w:pStyle w:val="Heading2"/>
        <w:spacing w:after="120"/>
        <w:ind w:left="426" w:hanging="426"/>
        <w:rPr>
          <w:rFonts w:asciiTheme="minorHAnsi" w:hAnsiTheme="minorHAnsi" w:cstheme="minorHAnsi"/>
          <w:b/>
          <w:color w:val="1F3864" w:themeColor="accent1" w:themeShade="80"/>
          <w:sz w:val="22"/>
          <w:szCs w:val="32"/>
        </w:rPr>
      </w:pPr>
      <w:bookmarkStart w:id="23" w:name="_Toc38034046"/>
      <w:r w:rsidRPr="00B75D55">
        <w:rPr>
          <w:rFonts w:asciiTheme="minorHAnsi" w:hAnsiTheme="minorHAnsi" w:cstheme="minorHAnsi"/>
          <w:b/>
          <w:color w:val="1F3864" w:themeColor="accent1" w:themeShade="80"/>
          <w:sz w:val="22"/>
          <w:szCs w:val="32"/>
        </w:rPr>
        <w:t xml:space="preserve">Other </w:t>
      </w:r>
      <w:r w:rsidR="005039EB">
        <w:rPr>
          <w:rFonts w:asciiTheme="minorHAnsi" w:hAnsiTheme="minorHAnsi" w:cstheme="minorHAnsi"/>
          <w:b/>
          <w:color w:val="1F3864" w:themeColor="accent1" w:themeShade="80"/>
          <w:sz w:val="22"/>
          <w:szCs w:val="32"/>
        </w:rPr>
        <w:t xml:space="preserve">Regional </w:t>
      </w:r>
      <w:r w:rsidRPr="00B75D55">
        <w:rPr>
          <w:rFonts w:asciiTheme="minorHAnsi" w:hAnsiTheme="minorHAnsi" w:cstheme="minorHAnsi"/>
          <w:b/>
          <w:color w:val="1F3864" w:themeColor="accent1" w:themeShade="80"/>
          <w:sz w:val="22"/>
          <w:szCs w:val="32"/>
        </w:rPr>
        <w:t>Initiatives and St</w:t>
      </w:r>
      <w:r w:rsidR="00510016" w:rsidRPr="00B75D55">
        <w:rPr>
          <w:rFonts w:asciiTheme="minorHAnsi" w:hAnsiTheme="minorHAnsi" w:cstheme="minorHAnsi"/>
          <w:b/>
          <w:color w:val="1F3864" w:themeColor="accent1" w:themeShade="80"/>
          <w:sz w:val="22"/>
          <w:szCs w:val="32"/>
        </w:rPr>
        <w:t>r</w:t>
      </w:r>
      <w:r w:rsidRPr="00B75D55">
        <w:rPr>
          <w:rFonts w:asciiTheme="minorHAnsi" w:hAnsiTheme="minorHAnsi" w:cstheme="minorHAnsi"/>
          <w:b/>
          <w:color w:val="1F3864" w:themeColor="accent1" w:themeShade="80"/>
          <w:sz w:val="22"/>
          <w:szCs w:val="32"/>
        </w:rPr>
        <w:t>ategies</w:t>
      </w:r>
      <w:bookmarkEnd w:id="23"/>
    </w:p>
    <w:p w14:paraId="7B877115" w14:textId="77777777" w:rsidR="007B5F8A" w:rsidRPr="00BF6818" w:rsidRDefault="007B5F8A" w:rsidP="000C48B8">
      <w:pPr>
        <w:spacing w:after="120" w:line="216" w:lineRule="auto"/>
        <w:rPr>
          <w:rFonts w:cstheme="minorHAnsi"/>
        </w:rPr>
      </w:pPr>
      <w:r w:rsidRPr="000C48B8">
        <w:rPr>
          <w:rFonts w:cstheme="minorHAnsi"/>
        </w:rPr>
        <w:t>O</w:t>
      </w:r>
      <w:r w:rsidR="001A16A8" w:rsidRPr="00BF6818">
        <w:rPr>
          <w:rFonts w:cstheme="minorHAnsi"/>
        </w:rPr>
        <w:t xml:space="preserve">ther strategies and frameworks </w:t>
      </w:r>
      <w:r w:rsidRPr="00BF6818">
        <w:rPr>
          <w:rFonts w:cstheme="minorHAnsi"/>
        </w:rPr>
        <w:t>that require consideration include the following:</w:t>
      </w:r>
    </w:p>
    <w:p w14:paraId="160A1BFB" w14:textId="77777777" w:rsidR="00AA312E" w:rsidRPr="0038098D" w:rsidRDefault="001A16A8">
      <w:pPr>
        <w:pStyle w:val="ListParagraph"/>
        <w:numPr>
          <w:ilvl w:val="0"/>
          <w:numId w:val="6"/>
        </w:numPr>
        <w:spacing w:after="120" w:line="216" w:lineRule="auto"/>
      </w:pPr>
      <w:r w:rsidRPr="00DA515C">
        <w:t>Framework for Action on Energy Security in the Pacific (FAESP</w:t>
      </w:r>
      <w:r w:rsidRPr="0038098D">
        <w:t>)</w:t>
      </w:r>
      <w:r w:rsidR="007B5F8A" w:rsidRPr="0038098D">
        <w:t xml:space="preserve">: FAESP was launched by SPC in 2010 </w:t>
      </w:r>
      <w:r w:rsidR="00AA312E" w:rsidRPr="0038098D">
        <w:t xml:space="preserve">with the aim of </w:t>
      </w:r>
      <w:r w:rsidR="007B5F8A" w:rsidRPr="0038098D">
        <w:t>improv</w:t>
      </w:r>
      <w:r w:rsidR="00AA312E" w:rsidRPr="0038098D">
        <w:t>ing</w:t>
      </w:r>
      <w:r w:rsidR="007B5F8A" w:rsidRPr="0038098D">
        <w:t xml:space="preserve"> energy security among the Pacific island states through coordination, cooperation and collaboration among CROP agencies and development partners. From a review of FAESP “In Review of the Framework for Action on Energy Security in the Pacific (FAESP): 2010 – 2020 PHASE 1: FINAL REPORT”</w:t>
      </w:r>
      <w:r w:rsidR="00AA312E" w:rsidRPr="0038098D">
        <w:rPr>
          <w:vertAlign w:val="superscript"/>
        </w:rPr>
        <w:footnoteReference w:id="13"/>
      </w:r>
      <w:r w:rsidR="007B5F8A" w:rsidRPr="0038098D">
        <w:t xml:space="preserve"> it appears that much effort went into developing the FAESP framework and deployment mechanisms, but </w:t>
      </w:r>
      <w:r w:rsidR="001D7AF5" w:rsidRPr="0038098D">
        <w:t xml:space="preserve">it seems </w:t>
      </w:r>
      <w:r w:rsidR="007B5F8A" w:rsidRPr="0038098D">
        <w:t xml:space="preserve">this newly developed tool </w:t>
      </w:r>
      <w:r w:rsidR="001D7AF5" w:rsidRPr="0038098D">
        <w:t xml:space="preserve">hasn’t been </w:t>
      </w:r>
      <w:r w:rsidR="007B5F8A" w:rsidRPr="0038098D">
        <w:t>used well and its effectiveness for improving the energy security of the PICTs has been questioned. How FAESP will be used in the future is currently under review.</w:t>
      </w:r>
      <w:r w:rsidR="00AA312E" w:rsidRPr="0038098D">
        <w:t xml:space="preserve"> </w:t>
      </w:r>
    </w:p>
    <w:p w14:paraId="1CE02EA6" w14:textId="77777777" w:rsidR="00A36330" w:rsidRPr="0038098D" w:rsidRDefault="00AA312E">
      <w:pPr>
        <w:pStyle w:val="ListParagraph"/>
        <w:spacing w:after="120" w:line="216" w:lineRule="auto"/>
        <w:ind w:left="768"/>
      </w:pPr>
      <w:r w:rsidRPr="0038098D">
        <w:t>The FAESP includes six areas of regional responsibility</w:t>
      </w:r>
      <w:r w:rsidR="001D7AF5" w:rsidRPr="0038098D">
        <w:t xml:space="preserve"> </w:t>
      </w:r>
      <w:r w:rsidRPr="0038098D">
        <w:t>that are applicable to any EV planning and policy work</w:t>
      </w:r>
      <w:r w:rsidR="001D7AF5" w:rsidRPr="0038098D">
        <w:t>. These are: i) Matters dealing with economies of scale, ii) Development of harmonised standards; iii) Regional leadership, strategy and advocacy; iv) Capacity development; v) Policy analysis and development; and vi) Data collection, analysis and reporting. C</w:t>
      </w:r>
      <w:r w:rsidRPr="0038098D">
        <w:t xml:space="preserve">onsideration of these </w:t>
      </w:r>
      <w:r w:rsidR="001D7AF5" w:rsidRPr="0038098D">
        <w:t xml:space="preserve">has </w:t>
      </w:r>
      <w:r w:rsidRPr="0038098D">
        <w:t>been provided in the EV policy development work described in the next section.</w:t>
      </w:r>
    </w:p>
    <w:p w14:paraId="5F6A4E33" w14:textId="77777777" w:rsidR="00AA312E" w:rsidRPr="0038098D" w:rsidRDefault="00AA312E">
      <w:pPr>
        <w:pStyle w:val="ListParagraph"/>
        <w:numPr>
          <w:ilvl w:val="0"/>
          <w:numId w:val="6"/>
        </w:numPr>
        <w:spacing w:after="120" w:line="216" w:lineRule="auto"/>
      </w:pPr>
      <w:r w:rsidRPr="0038098D">
        <w:t xml:space="preserve">Framework for Action on Transport Services (FATS): FATS was formulated in response to calls from Pacific Forum Leaders for improved coordination and delivery of safe, secure and competitive transport services as articulated in a 2004 declaration entitled “Forum Principles on Regional Transport Services”. The resulting FATS framework was published </w:t>
      </w:r>
      <w:r w:rsidR="00067401" w:rsidRPr="0038098D">
        <w:t xml:space="preserve">in </w:t>
      </w:r>
      <w:r w:rsidRPr="0038098D">
        <w:t>2011. FATS “aims to enhance the social and economic well-being of people in the Pacific by supporting the efforts of PICTs to work towards ensuring that all their people, at all times, have access to safe, secure and competitive air and sea transport services that are regular, reliable and affordable.”</w:t>
      </w:r>
      <w:r w:rsidRPr="0038098D">
        <w:rPr>
          <w:rStyle w:val="FootnoteReference"/>
        </w:rPr>
        <w:footnoteReference w:id="14"/>
      </w:r>
      <w:r w:rsidRPr="0038098D">
        <w:t xml:space="preserve"> </w:t>
      </w:r>
      <w:r w:rsidR="008404C9" w:rsidRPr="0038098D">
        <w:t>FATS</w:t>
      </w:r>
      <w:r w:rsidRPr="0038098D">
        <w:t xml:space="preserve"> does not appear to have been updated since</w:t>
      </w:r>
      <w:r w:rsidR="00067401" w:rsidRPr="0038098D">
        <w:t xml:space="preserve"> its 2011 launch (whether it remains current</w:t>
      </w:r>
      <w:r w:rsidR="001D7AF5" w:rsidRPr="0038098D">
        <w:t xml:space="preserve"> is open to question</w:t>
      </w:r>
      <w:r w:rsidR="00067401" w:rsidRPr="0038098D">
        <w:t xml:space="preserve">) </w:t>
      </w:r>
      <w:r w:rsidRPr="0038098D">
        <w:t>and does not appear to be a significant component of transport planning today.</w:t>
      </w:r>
    </w:p>
    <w:p w14:paraId="0C46E7B4" w14:textId="77777777" w:rsidR="00055BE2" w:rsidRPr="00BF6818" w:rsidRDefault="008404C9" w:rsidP="002F47F6">
      <w:pPr>
        <w:pStyle w:val="ListParagraph"/>
        <w:numPr>
          <w:ilvl w:val="0"/>
          <w:numId w:val="6"/>
        </w:numPr>
        <w:spacing w:line="216" w:lineRule="auto"/>
      </w:pPr>
      <w:r w:rsidRPr="000C48B8">
        <w:t xml:space="preserve">Framework for Resilient </w:t>
      </w:r>
      <w:r w:rsidRPr="00BF6818">
        <w:t>Development in the Pacific</w:t>
      </w:r>
      <w:r w:rsidR="00DB5BC6" w:rsidRPr="00BF6818">
        <w:t xml:space="preserve"> (FRDP): </w:t>
      </w:r>
      <w:r w:rsidRPr="00BF6818">
        <w:t xml:space="preserve">FRDP is a voluntary guideline for the Pacific Islands Region aiming to support the building of resilience to climate change and disasters in the region (and succeeding two separate regional frameworks on climate change and disaster risk management that were in place before this). </w:t>
      </w:r>
      <w:r w:rsidR="00055BE2" w:rsidRPr="00BF6818">
        <w:t xml:space="preserve">The FRDP makes </w:t>
      </w:r>
      <w:r w:rsidRPr="00BF6818">
        <w:t xml:space="preserve">no </w:t>
      </w:r>
      <w:r w:rsidR="00055BE2" w:rsidRPr="00BF6818">
        <w:t xml:space="preserve">specific </w:t>
      </w:r>
      <w:r w:rsidRPr="00BF6818">
        <w:t xml:space="preserve">mention of EVs or </w:t>
      </w:r>
      <w:r w:rsidR="001D7AF5" w:rsidRPr="002F47F6">
        <w:t>ways</w:t>
      </w:r>
      <w:r w:rsidR="001D7AF5" w:rsidRPr="000C48B8">
        <w:t xml:space="preserve"> </w:t>
      </w:r>
      <w:r w:rsidRPr="00BF6818">
        <w:t xml:space="preserve">in which EVs might support </w:t>
      </w:r>
      <w:r w:rsidR="00055BE2" w:rsidRPr="00BF6818">
        <w:t>the building of resilience. However, the FRDP does provide valuable guiding principles</w:t>
      </w:r>
      <w:r w:rsidR="00D1409F" w:rsidRPr="002F47F6">
        <w:t>,</w:t>
      </w:r>
      <w:r w:rsidR="00055BE2" w:rsidRPr="000C48B8">
        <w:t xml:space="preserve"> which have been considered in the EV policy develop</w:t>
      </w:r>
      <w:r w:rsidR="00D1409F" w:rsidRPr="002F47F6">
        <w:t>ment</w:t>
      </w:r>
      <w:r w:rsidR="00055BE2" w:rsidRPr="000C48B8">
        <w:t xml:space="preserve"> work desc</w:t>
      </w:r>
      <w:r w:rsidR="00055BE2" w:rsidRPr="00BF6818">
        <w:t>ribed in the next section</w:t>
      </w:r>
      <w:r w:rsidR="00B82F7E" w:rsidRPr="00BF6818">
        <w:t>. These include</w:t>
      </w:r>
      <w:r w:rsidR="00D1409F" w:rsidRPr="002F47F6">
        <w:t xml:space="preserve"> instructions to</w:t>
      </w:r>
      <w:r w:rsidR="00B82F7E" w:rsidRPr="000C48B8">
        <w:t>:</w:t>
      </w:r>
    </w:p>
    <w:p w14:paraId="17338A75" w14:textId="77777777" w:rsidR="00055BE2" w:rsidRPr="00BF6818" w:rsidRDefault="00055BE2" w:rsidP="002F47F6">
      <w:pPr>
        <w:pStyle w:val="ListParagraph"/>
        <w:numPr>
          <w:ilvl w:val="1"/>
          <w:numId w:val="6"/>
        </w:numPr>
        <w:spacing w:line="216" w:lineRule="auto"/>
      </w:pPr>
      <w:r w:rsidRPr="00BF6818">
        <w:t>Integrat</w:t>
      </w:r>
      <w:r w:rsidR="00D1409F" w:rsidRPr="002F47F6">
        <w:t xml:space="preserve">e </w:t>
      </w:r>
      <w:r w:rsidRPr="00BF6818">
        <w:t>climate change and disaster risk management (where possible) and mainstream into development planning including policy making, planning, financing, programming and implementation, to build resilience.</w:t>
      </w:r>
    </w:p>
    <w:p w14:paraId="2F536879" w14:textId="77777777" w:rsidR="00055BE2" w:rsidRPr="00BF6818" w:rsidRDefault="00055BE2" w:rsidP="002F47F6">
      <w:pPr>
        <w:pStyle w:val="ListParagraph"/>
        <w:numPr>
          <w:ilvl w:val="1"/>
          <w:numId w:val="6"/>
        </w:numPr>
        <w:spacing w:line="216" w:lineRule="auto"/>
      </w:pPr>
      <w:r w:rsidRPr="00BF6818">
        <w:t>Strengthen and develop partnerships across countries and territories, including sharing of lessons learned and best practices.</w:t>
      </w:r>
    </w:p>
    <w:p w14:paraId="2DDBA5C0" w14:textId="7989B7FE" w:rsidR="00055BE2" w:rsidRPr="00BF6818" w:rsidRDefault="00055BE2" w:rsidP="002F47F6">
      <w:pPr>
        <w:pStyle w:val="ListParagraph"/>
        <w:numPr>
          <w:ilvl w:val="1"/>
          <w:numId w:val="6"/>
        </w:numPr>
        <w:spacing w:line="216" w:lineRule="auto"/>
      </w:pPr>
      <w:r w:rsidRPr="00BF6818">
        <w:t>Prioritise the needs and respect the rights of the most vulnerable, including</w:t>
      </w:r>
      <w:r w:rsidR="00D1409F" w:rsidRPr="00BF6818">
        <w:t>,</w:t>
      </w:r>
      <w:r w:rsidRPr="00BF6818">
        <w:t xml:space="preserve"> but not limited to</w:t>
      </w:r>
      <w:r w:rsidR="00D1409F" w:rsidRPr="00BF6818">
        <w:t>,</w:t>
      </w:r>
      <w:r w:rsidRPr="00BF6818">
        <w:t xml:space="preserve"> women, persons with disabilities, children, youth and older persons, and facilitate their effective participation in planning and </w:t>
      </w:r>
      <w:r w:rsidR="00B82F7E" w:rsidRPr="00BF6818">
        <w:t>implementation</w:t>
      </w:r>
      <w:r w:rsidRPr="00BF6818">
        <w:t xml:space="preserve"> of all activities.</w:t>
      </w:r>
    </w:p>
    <w:p w14:paraId="5E728EA4" w14:textId="77777777" w:rsidR="00B82F7E" w:rsidRPr="000C48B8" w:rsidRDefault="00B82F7E" w:rsidP="002F47F6">
      <w:pPr>
        <w:pStyle w:val="ListParagraph"/>
        <w:numPr>
          <w:ilvl w:val="1"/>
          <w:numId w:val="6"/>
        </w:numPr>
        <w:spacing w:line="216" w:lineRule="auto"/>
      </w:pPr>
      <w:r w:rsidRPr="00BF6818">
        <w:t>Advocate open and ready access to reliable sources of traditional and contemporary information.</w:t>
      </w:r>
      <w:r w:rsidR="00DB5BC6" w:rsidRPr="000C48B8">
        <w:rPr>
          <w:rStyle w:val="FootnoteReference"/>
        </w:rPr>
        <w:footnoteReference w:id="15"/>
      </w:r>
    </w:p>
    <w:p w14:paraId="4CE28ECC" w14:textId="0C63253E" w:rsidR="0019638F" w:rsidRPr="002711D7" w:rsidRDefault="003276E3" w:rsidP="00181092">
      <w:pPr>
        <w:spacing w:after="240" w:line="216" w:lineRule="auto"/>
      </w:pPr>
      <w:r w:rsidRPr="00BF6818">
        <w:t xml:space="preserve">Considered overall, </w:t>
      </w:r>
      <w:r w:rsidR="00E85ED3" w:rsidRPr="00BF6818">
        <w:t>these strategies and frameworks provide guidance for how to structure potential EV policies</w:t>
      </w:r>
      <w:r w:rsidR="006D1FA4" w:rsidRPr="00BF6818">
        <w:t xml:space="preserve"> and </w:t>
      </w:r>
      <w:r w:rsidR="0054193B">
        <w:t>actions</w:t>
      </w:r>
      <w:r w:rsidR="006D1FA4" w:rsidRPr="00BF6818">
        <w:t xml:space="preserve"> but do not direct what those policies or </w:t>
      </w:r>
      <w:r w:rsidR="0054193B">
        <w:t>actions</w:t>
      </w:r>
      <w:r w:rsidR="006D1FA4" w:rsidRPr="00BF6818">
        <w:t xml:space="preserve"> might be.</w:t>
      </w:r>
    </w:p>
    <w:p w14:paraId="3309CD47" w14:textId="5700B9C6" w:rsidR="00B75D55" w:rsidRPr="00194394" w:rsidRDefault="001303D0" w:rsidP="00194394">
      <w:pPr>
        <w:pStyle w:val="Heading1"/>
        <w:rPr>
          <w:rFonts w:asciiTheme="minorHAnsi" w:hAnsiTheme="minorHAnsi" w:cstheme="minorHAnsi"/>
          <w:b/>
          <w:color w:val="1F3864" w:themeColor="accent1" w:themeShade="80"/>
          <w:sz w:val="24"/>
        </w:rPr>
      </w:pPr>
      <w:bookmarkStart w:id="24" w:name="_Toc38034047"/>
      <w:r w:rsidRPr="00194394">
        <w:rPr>
          <w:rFonts w:asciiTheme="minorHAnsi" w:hAnsiTheme="minorHAnsi" w:cstheme="minorHAnsi"/>
          <w:b/>
          <w:color w:val="1F3864" w:themeColor="accent1" w:themeShade="80"/>
          <w:sz w:val="24"/>
        </w:rPr>
        <w:lastRenderedPageBreak/>
        <w:t>High-</w:t>
      </w:r>
      <w:r w:rsidR="008F1378" w:rsidRPr="00194394">
        <w:rPr>
          <w:rFonts w:asciiTheme="minorHAnsi" w:hAnsiTheme="minorHAnsi" w:cstheme="minorHAnsi"/>
          <w:b/>
          <w:color w:val="1F3864" w:themeColor="accent1" w:themeShade="80"/>
          <w:sz w:val="24"/>
        </w:rPr>
        <w:t xml:space="preserve">Level Electric Vehicle </w:t>
      </w:r>
      <w:r w:rsidR="00784959" w:rsidRPr="00194394">
        <w:rPr>
          <w:rFonts w:asciiTheme="minorHAnsi" w:hAnsiTheme="minorHAnsi" w:cstheme="minorHAnsi"/>
          <w:b/>
          <w:color w:val="1F3864" w:themeColor="accent1" w:themeShade="80"/>
          <w:sz w:val="24"/>
        </w:rPr>
        <w:t>Policies</w:t>
      </w:r>
      <w:r w:rsidR="004B1A23">
        <w:rPr>
          <w:rFonts w:asciiTheme="minorHAnsi" w:hAnsiTheme="minorHAnsi" w:cstheme="minorHAnsi"/>
          <w:b/>
          <w:color w:val="1F3864" w:themeColor="accent1" w:themeShade="80"/>
          <w:sz w:val="24"/>
        </w:rPr>
        <w:t xml:space="preserve"> and</w:t>
      </w:r>
      <w:r w:rsidR="003F4636" w:rsidRPr="00194394">
        <w:rPr>
          <w:rFonts w:asciiTheme="minorHAnsi" w:hAnsiTheme="minorHAnsi" w:cstheme="minorHAnsi"/>
          <w:b/>
          <w:color w:val="1F3864" w:themeColor="accent1" w:themeShade="80"/>
          <w:sz w:val="24"/>
        </w:rPr>
        <w:t xml:space="preserve"> </w:t>
      </w:r>
      <w:r w:rsidR="000840D6">
        <w:rPr>
          <w:rFonts w:asciiTheme="minorHAnsi" w:hAnsiTheme="minorHAnsi" w:cstheme="minorHAnsi"/>
          <w:b/>
          <w:color w:val="1F3864" w:themeColor="accent1" w:themeShade="80"/>
          <w:sz w:val="24"/>
        </w:rPr>
        <w:t xml:space="preserve">Targets </w:t>
      </w:r>
      <w:r w:rsidR="003F4636" w:rsidRPr="00194394">
        <w:rPr>
          <w:rFonts w:asciiTheme="minorHAnsi" w:hAnsiTheme="minorHAnsi" w:cstheme="minorHAnsi"/>
          <w:b/>
          <w:color w:val="1F3864" w:themeColor="accent1" w:themeShade="80"/>
          <w:sz w:val="24"/>
        </w:rPr>
        <w:t>for PICTs</w:t>
      </w:r>
      <w:bookmarkEnd w:id="24"/>
      <w:r w:rsidR="008F611C" w:rsidRPr="00194394">
        <w:rPr>
          <w:rFonts w:asciiTheme="minorHAnsi" w:hAnsiTheme="minorHAnsi" w:cstheme="minorHAnsi"/>
          <w:b/>
          <w:color w:val="1F3864" w:themeColor="accent1" w:themeShade="80"/>
          <w:sz w:val="24"/>
        </w:rPr>
        <w:t xml:space="preserve"> </w:t>
      </w:r>
    </w:p>
    <w:p w14:paraId="58976BC5" w14:textId="43B82035" w:rsidR="00E95B87" w:rsidRPr="0044710B" w:rsidRDefault="00DB5BC6" w:rsidP="002F47F6">
      <w:pPr>
        <w:spacing w:line="216" w:lineRule="auto"/>
      </w:pPr>
      <w:r w:rsidRPr="00D65FC4">
        <w:t>As has been mentioned, h</w:t>
      </w:r>
      <w:r w:rsidR="00035AFA" w:rsidRPr="00D65FC4">
        <w:t xml:space="preserve">igh-level policy targets can be considered a statement of </w:t>
      </w:r>
      <w:r w:rsidR="00D1409F" w:rsidRPr="00D65FC4">
        <w:t xml:space="preserve">the </w:t>
      </w:r>
      <w:r w:rsidR="00035AFA" w:rsidRPr="00D65FC4">
        <w:t xml:space="preserve">significant need </w:t>
      </w:r>
      <w:r w:rsidR="00D1409F" w:rsidRPr="00D65FC4">
        <w:t xml:space="preserve">for </w:t>
      </w:r>
      <w:r w:rsidR="00035AFA" w:rsidRPr="00D65FC4">
        <w:t xml:space="preserve">a </w:t>
      </w:r>
      <w:r w:rsidR="00D1409F" w:rsidRPr="00D65FC4">
        <w:t xml:space="preserve">particular </w:t>
      </w:r>
      <w:r w:rsidR="00035AFA" w:rsidRPr="00D65FC4">
        <w:t xml:space="preserve">outcome. For example, </w:t>
      </w:r>
      <w:r w:rsidR="00394996">
        <w:t xml:space="preserve">the response of many countries in the world </w:t>
      </w:r>
      <w:r w:rsidR="00952568" w:rsidRPr="00D65FC4">
        <w:t xml:space="preserve">to </w:t>
      </w:r>
      <w:r w:rsidR="00D1409F" w:rsidRPr="00D65FC4">
        <w:t xml:space="preserve">the desire </w:t>
      </w:r>
      <w:r w:rsidR="00035AFA" w:rsidRPr="00D65FC4">
        <w:t>to reduce carbon emission</w:t>
      </w:r>
      <w:r w:rsidR="00952568" w:rsidRPr="00D65FC4">
        <w:t>s</w:t>
      </w:r>
      <w:r w:rsidR="00035AFA" w:rsidRPr="00D65FC4">
        <w:t xml:space="preserve"> from the transport sector (a</w:t>
      </w:r>
      <w:r w:rsidR="009546B2" w:rsidRPr="00D65FC4">
        <w:t xml:space="preserve"> high-level policy)</w:t>
      </w:r>
      <w:r w:rsidR="00D1409F" w:rsidRPr="00D65FC4">
        <w:t>,</w:t>
      </w:r>
      <w:r w:rsidR="00035AFA" w:rsidRPr="00D65FC4">
        <w:t xml:space="preserve"> </w:t>
      </w:r>
      <w:r w:rsidR="00E95B87">
        <w:t xml:space="preserve">has been the introduction of </w:t>
      </w:r>
      <w:r w:rsidR="00035AFA" w:rsidRPr="00D65FC4">
        <w:t>fuel consumption standards for vehicle</w:t>
      </w:r>
      <w:r w:rsidR="002A1F2F">
        <w:t>s</w:t>
      </w:r>
      <w:r w:rsidR="00035AFA" w:rsidRPr="00D65FC4">
        <w:t xml:space="preserve"> entering the fleet (a next</w:t>
      </w:r>
      <w:r w:rsidR="00D1409F" w:rsidRPr="00D65FC4">
        <w:t>-</w:t>
      </w:r>
      <w:r w:rsidR="00035AFA" w:rsidRPr="00D65FC4">
        <w:t>level</w:t>
      </w:r>
      <w:r w:rsidR="00D1409F" w:rsidRPr="00D65FC4">
        <w:t>-</w:t>
      </w:r>
      <w:r w:rsidR="00035AFA" w:rsidRPr="00D65FC4">
        <w:t xml:space="preserve">down policy) to ensure that </w:t>
      </w:r>
      <w:r w:rsidR="00035AFA" w:rsidRPr="0044710B">
        <w:t xml:space="preserve">lower-emission vehicles enter the market. Avoiding </w:t>
      </w:r>
      <w:r w:rsidR="00D1409F" w:rsidRPr="0044710B">
        <w:t>prescribing the</w:t>
      </w:r>
      <w:r w:rsidR="00035AFA" w:rsidRPr="0044710B">
        <w:t xml:space="preserve"> technology type </w:t>
      </w:r>
      <w:r w:rsidR="00D1409F" w:rsidRPr="0044710B">
        <w:t xml:space="preserve">required </w:t>
      </w:r>
      <w:r w:rsidR="00035AFA" w:rsidRPr="0044710B">
        <w:t xml:space="preserve">to do this leaves </w:t>
      </w:r>
      <w:r w:rsidR="002A1F2F">
        <w:t xml:space="preserve">it up to the </w:t>
      </w:r>
      <w:r w:rsidR="00035AFA" w:rsidRPr="0044710B">
        <w:t>market to choose how best the policy target</w:t>
      </w:r>
      <w:r w:rsidR="009546B2" w:rsidRPr="0044710B">
        <w:t xml:space="preserve"> </w:t>
      </w:r>
      <w:r w:rsidR="00D1409F" w:rsidRPr="0044710B">
        <w:t xml:space="preserve">might be met </w:t>
      </w:r>
      <w:r w:rsidR="009546B2" w:rsidRPr="0044710B">
        <w:t>(</w:t>
      </w:r>
      <w:r w:rsidR="00D1409F" w:rsidRPr="0044710B">
        <w:t>an</w:t>
      </w:r>
      <w:r w:rsidR="00035AFA" w:rsidRPr="0044710B">
        <w:t xml:space="preserve"> approach </w:t>
      </w:r>
      <w:r w:rsidR="00D1409F" w:rsidRPr="0044710B">
        <w:t xml:space="preserve">that </w:t>
      </w:r>
      <w:r w:rsidR="00035AFA" w:rsidRPr="0044710B">
        <w:t xml:space="preserve">may also avoid unintended </w:t>
      </w:r>
      <w:r w:rsidR="00D1409F" w:rsidRPr="0044710B">
        <w:t>consequences</w:t>
      </w:r>
      <w:r w:rsidR="00035AFA" w:rsidRPr="0044710B">
        <w:rPr>
          <w:rStyle w:val="FootnoteReference"/>
        </w:rPr>
        <w:footnoteReference w:id="16"/>
      </w:r>
      <w:r w:rsidR="009546B2" w:rsidRPr="0044710B">
        <w:t>).</w:t>
      </w:r>
      <w:r w:rsidR="00035AFA" w:rsidRPr="0044710B">
        <w:t xml:space="preserve">  </w:t>
      </w:r>
    </w:p>
    <w:p w14:paraId="2E161B41" w14:textId="4603BF06" w:rsidR="00AD0A5C" w:rsidRPr="00BF6818" w:rsidRDefault="002A1F2F" w:rsidP="002F47F6">
      <w:pPr>
        <w:spacing w:line="216" w:lineRule="auto"/>
      </w:pPr>
      <w:r w:rsidRPr="0044710B">
        <w:t xml:space="preserve">In the SIDS context, the priority </w:t>
      </w:r>
      <w:r w:rsidRPr="00EF3205">
        <w:t xml:space="preserve">high-level policy targets </w:t>
      </w:r>
      <w:r w:rsidRPr="0030192A">
        <w:t>include reducing fossil fuel dependence</w:t>
      </w:r>
      <w:r>
        <w:t xml:space="preserve"> and related </w:t>
      </w:r>
      <w:proofErr w:type="gramStart"/>
      <w:r w:rsidRPr="00EF3205">
        <w:t>spending</w:t>
      </w:r>
      <w:r>
        <w:t>,</w:t>
      </w:r>
      <w:r w:rsidRPr="00EF3205">
        <w:t xml:space="preserve"> and</w:t>
      </w:r>
      <w:proofErr w:type="gramEnd"/>
      <w:r w:rsidRPr="00EF3205">
        <w:t xml:space="preserve"> </w:t>
      </w:r>
      <w:r>
        <w:t>mitigating</w:t>
      </w:r>
      <w:r w:rsidRPr="00EF3205">
        <w:t xml:space="preserve"> local pollution. There </w:t>
      </w:r>
      <w:r w:rsidRPr="0030192A">
        <w:t>is also regional</w:t>
      </w:r>
      <w:r w:rsidRPr="0044710B">
        <w:t xml:space="preserve"> interest in </w:t>
      </w:r>
      <w:r>
        <w:t xml:space="preserve">improving </w:t>
      </w:r>
      <w:r w:rsidRPr="00EF3205">
        <w:rPr>
          <w:lang w:val="en-GB"/>
        </w:rPr>
        <w:t xml:space="preserve">access to safe, reliable, convenient, affordable and comfortable (when involving passengers) transport, </w:t>
      </w:r>
      <w:r w:rsidRPr="0030192A">
        <w:rPr>
          <w:lang w:val="en-GB"/>
        </w:rPr>
        <w:t xml:space="preserve">and in </w:t>
      </w:r>
      <w:r w:rsidRPr="0044710B">
        <w:rPr>
          <w:lang w:val="en-GB"/>
        </w:rPr>
        <w:t>reducing greenhouse emissions</w:t>
      </w:r>
      <w:r>
        <w:rPr>
          <w:lang w:val="en-GB"/>
        </w:rPr>
        <w:t>,</w:t>
      </w:r>
      <w:r w:rsidRPr="00EF3205">
        <w:rPr>
          <w:lang w:val="en-GB"/>
        </w:rPr>
        <w:t xml:space="preserve"> as has been mentioned</w:t>
      </w:r>
      <w:r w:rsidRPr="0030192A">
        <w:rPr>
          <w:lang w:val="en-GB"/>
        </w:rPr>
        <w:t xml:space="preserve">. </w:t>
      </w:r>
      <w:r w:rsidRPr="0044710B">
        <w:t xml:space="preserve">EVs </w:t>
      </w:r>
      <w:r>
        <w:t>should be regarded</w:t>
      </w:r>
      <w:r w:rsidRPr="00EF3205">
        <w:t xml:space="preserve"> </w:t>
      </w:r>
      <w:r>
        <w:t xml:space="preserve">more as a tool </w:t>
      </w:r>
      <w:r w:rsidRPr="0030192A">
        <w:t xml:space="preserve">to be used </w:t>
      </w:r>
      <w:r>
        <w:t>to achieve the desired high-level outcome, which recognises that there are other tools that might be deployed to bring about the same effect.</w:t>
      </w:r>
      <w:r w:rsidR="00AE1984">
        <w:t xml:space="preserve"> </w:t>
      </w:r>
      <w:r w:rsidR="00E22FF2" w:rsidRPr="0044710B">
        <w:t xml:space="preserve">Examples of </w:t>
      </w:r>
      <w:r w:rsidR="00035AFA" w:rsidRPr="0044710B">
        <w:t xml:space="preserve">high-level policy targets </w:t>
      </w:r>
      <w:r w:rsidR="00E22FF2" w:rsidRPr="0044710B">
        <w:t>are:</w:t>
      </w:r>
      <w:r w:rsidR="003F4636" w:rsidRPr="00BF6818">
        <w:t xml:space="preserve">  </w:t>
      </w:r>
      <w:r w:rsidR="004965A0" w:rsidRPr="00BF6818">
        <w:t xml:space="preserve"> </w:t>
      </w:r>
    </w:p>
    <w:p w14:paraId="2120531F" w14:textId="77777777" w:rsidR="00E22FF2" w:rsidRPr="00BF6818" w:rsidRDefault="00E22FF2" w:rsidP="002F47F6">
      <w:pPr>
        <w:pStyle w:val="ListParagraph"/>
        <w:numPr>
          <w:ilvl w:val="0"/>
          <w:numId w:val="27"/>
        </w:numPr>
        <w:spacing w:line="216" w:lineRule="auto"/>
      </w:pPr>
      <w:r w:rsidRPr="00BF6818">
        <w:t xml:space="preserve">Amsterdam: </w:t>
      </w:r>
      <w:r w:rsidRPr="00BF6818">
        <w:tab/>
        <w:t>Zero-emissions transport within the city by 2025;</w:t>
      </w:r>
    </w:p>
    <w:p w14:paraId="7021A32D" w14:textId="77777777" w:rsidR="00E22FF2" w:rsidRPr="00BF6818" w:rsidRDefault="00E22FF2" w:rsidP="002F47F6">
      <w:pPr>
        <w:pStyle w:val="ListParagraph"/>
        <w:numPr>
          <w:ilvl w:val="0"/>
          <w:numId w:val="27"/>
        </w:numPr>
        <w:spacing w:line="216" w:lineRule="auto"/>
      </w:pPr>
      <w:r w:rsidRPr="00BF6818">
        <w:t>London:</w:t>
      </w:r>
      <w:r w:rsidRPr="00BF6818">
        <w:tab/>
        <w:t xml:space="preserve">70,000 ultra-low emission vehicles sold by 2020; 250,000 by 2025; </w:t>
      </w:r>
    </w:p>
    <w:p w14:paraId="557DEA29" w14:textId="77777777" w:rsidR="00E22FF2" w:rsidRPr="00BF6818" w:rsidRDefault="00E22FF2" w:rsidP="002F47F6">
      <w:pPr>
        <w:pStyle w:val="ListParagraph"/>
        <w:numPr>
          <w:ilvl w:val="0"/>
          <w:numId w:val="27"/>
        </w:numPr>
        <w:spacing w:line="216" w:lineRule="auto"/>
      </w:pPr>
      <w:r w:rsidRPr="00BF6818">
        <w:t>Oslo:</w:t>
      </w:r>
      <w:r w:rsidRPr="00BF6818">
        <w:tab/>
      </w:r>
      <w:r w:rsidRPr="00BF6818">
        <w:tab/>
        <w:t>Zero-emissions transport within the city by 2030;</w:t>
      </w:r>
    </w:p>
    <w:p w14:paraId="5A8D07A0" w14:textId="77777777" w:rsidR="00E22FF2" w:rsidRPr="00BF6818" w:rsidRDefault="00E22FF2" w:rsidP="002F47F6">
      <w:pPr>
        <w:pStyle w:val="ListParagraph"/>
        <w:numPr>
          <w:ilvl w:val="0"/>
          <w:numId w:val="27"/>
        </w:numPr>
        <w:spacing w:line="216" w:lineRule="auto"/>
      </w:pPr>
      <w:r w:rsidRPr="00BF6818">
        <w:t>Shenzhen:</w:t>
      </w:r>
      <w:r w:rsidRPr="00BF6818">
        <w:tab/>
        <w:t>120,000 new energy vehicles sold by 2020.</w:t>
      </w:r>
    </w:p>
    <w:p w14:paraId="6286DCB5" w14:textId="3109D1BA" w:rsidR="00354EB0" w:rsidRDefault="009546B2" w:rsidP="002F47F6">
      <w:pPr>
        <w:spacing w:line="216" w:lineRule="auto"/>
      </w:pPr>
      <w:r w:rsidRPr="00BF6818">
        <w:t xml:space="preserve">By their </w:t>
      </w:r>
      <w:r w:rsidR="00D1409F" w:rsidRPr="00BF6818">
        <w:t xml:space="preserve">very </w:t>
      </w:r>
      <w:r w:rsidRPr="00BF6818">
        <w:t>nature, t</w:t>
      </w:r>
      <w:r w:rsidR="008F1378" w:rsidRPr="00BF6818">
        <w:t xml:space="preserve">hese zero-emissions targets (coupled with well-considered definitions of what “zero-emission” is) provide for a more enduring future target than if a </w:t>
      </w:r>
      <w:proofErr w:type="gramStart"/>
      <w:r w:rsidR="008F1378" w:rsidRPr="00BF6818">
        <w:t>particular technology</w:t>
      </w:r>
      <w:proofErr w:type="gramEnd"/>
      <w:r w:rsidR="008F1378" w:rsidRPr="00BF6818">
        <w:t xml:space="preserve"> was </w:t>
      </w:r>
      <w:r w:rsidR="002A1F2F">
        <w:t>stipulated</w:t>
      </w:r>
      <w:r w:rsidR="008F1378" w:rsidRPr="00BF6818">
        <w:t xml:space="preserve">. </w:t>
      </w:r>
    </w:p>
    <w:p w14:paraId="2A68DB1F" w14:textId="77777777" w:rsidR="002A1F2F" w:rsidRDefault="002A1F2F" w:rsidP="002A1F2F">
      <w:pPr>
        <w:spacing w:line="216" w:lineRule="auto"/>
      </w:pPr>
      <w:r>
        <w:t xml:space="preserve">However, these higher-level targets neither give direction to, nor inspire, an emerging EV industry. For this, we need to work at a lower level of policy target. At this point, it is necessary to be careful to identify an enduring target, given that the technology involved is rapidly evolving, particularly when considering the long timeframes under consideration (the PICT Energy and Transport Minsters’ request was to provide </w:t>
      </w:r>
      <w:r w:rsidRPr="005F0578">
        <w:t xml:space="preserve">e-mobility targets for the PICTs region </w:t>
      </w:r>
      <w:r>
        <w:t xml:space="preserve">for </w:t>
      </w:r>
      <w:r w:rsidRPr="005F0578">
        <w:t>2030 and 2050</w:t>
      </w:r>
      <w:r>
        <w:t xml:space="preserve">). It is also important to remember that the technology is only one option of many, </w:t>
      </w:r>
      <w:proofErr w:type="gramStart"/>
      <w:r>
        <w:t>and also</w:t>
      </w:r>
      <w:proofErr w:type="gramEnd"/>
      <w:r>
        <w:t xml:space="preserve"> to note:</w:t>
      </w:r>
    </w:p>
    <w:p w14:paraId="13AB01AA" w14:textId="77777777" w:rsidR="002A1F2F" w:rsidRDefault="002A1F2F" w:rsidP="00092925">
      <w:pPr>
        <w:pStyle w:val="ListParagraph"/>
        <w:numPr>
          <w:ilvl w:val="0"/>
          <w:numId w:val="45"/>
        </w:numPr>
        <w:spacing w:after="0" w:line="216" w:lineRule="auto"/>
        <w:ind w:left="714" w:hanging="357"/>
        <w:rPr>
          <w:lang w:val="en-GB"/>
        </w:rPr>
      </w:pPr>
      <w:r w:rsidRPr="00991CF0">
        <w:rPr>
          <w:lang w:val="en-GB"/>
        </w:rPr>
        <w:t>“Zero</w:t>
      </w:r>
      <w:r>
        <w:rPr>
          <w:rStyle w:val="FootnoteReference"/>
          <w:lang w:val="en-GB"/>
        </w:rPr>
        <w:footnoteReference w:id="17"/>
      </w:r>
      <w:r w:rsidRPr="00991CF0">
        <w:rPr>
          <w:lang w:val="en-GB"/>
        </w:rPr>
        <w:t>” through to “third-generation”</w:t>
      </w:r>
      <w:r>
        <w:rPr>
          <w:lang w:val="en-GB"/>
        </w:rPr>
        <w:t xml:space="preserve"> biofuels may also provide significant contribution to PICTs meeting higher-level targets – and EV-related targets should accordingly allow for multiple technology approaches;</w:t>
      </w:r>
    </w:p>
    <w:p w14:paraId="226BA296" w14:textId="77777777" w:rsidR="002A1F2F" w:rsidRDefault="002A1F2F" w:rsidP="00092925">
      <w:pPr>
        <w:pStyle w:val="ListParagraph"/>
        <w:numPr>
          <w:ilvl w:val="0"/>
          <w:numId w:val="45"/>
        </w:numPr>
        <w:spacing w:after="0" w:line="216" w:lineRule="auto"/>
        <w:ind w:left="714" w:hanging="357"/>
        <w:rPr>
          <w:lang w:val="en-GB"/>
        </w:rPr>
      </w:pPr>
      <w:r>
        <w:rPr>
          <w:lang w:val="en-GB"/>
        </w:rPr>
        <w:t>Non-plug-in hybrid vehicles might provide PICTs with a more affordable, more accessible and more easily supported solution in the earlier years, depending upon what level of capacity building can be introduced across any given PICT;</w:t>
      </w:r>
    </w:p>
    <w:p w14:paraId="16492771" w14:textId="77777777" w:rsidR="002A1F2F" w:rsidRDefault="002A1F2F" w:rsidP="00092925">
      <w:pPr>
        <w:pStyle w:val="ListParagraph"/>
        <w:numPr>
          <w:ilvl w:val="0"/>
          <w:numId w:val="45"/>
        </w:numPr>
        <w:spacing w:after="0" w:line="216" w:lineRule="auto"/>
        <w:ind w:left="714" w:hanging="357"/>
        <w:rPr>
          <w:lang w:val="en-GB"/>
        </w:rPr>
      </w:pPr>
      <w:r>
        <w:rPr>
          <w:lang w:val="en-GB"/>
        </w:rPr>
        <w:t>The economic situation of the region has yet to reflect the impact of the Covid-19 crisis (the Covid-19 situation had just begun at the time of writing this report). The short- and medium-term affordability of passenger car and larger EVs could be significantly affected – providing an additional reason to avoid targeting the deployment of a certain number of EVs by a certain time.</w:t>
      </w:r>
    </w:p>
    <w:p w14:paraId="0F7AD074" w14:textId="77777777" w:rsidR="002A1F2F" w:rsidRDefault="002A1F2F" w:rsidP="00092925">
      <w:pPr>
        <w:pStyle w:val="ListParagraph"/>
        <w:numPr>
          <w:ilvl w:val="0"/>
          <w:numId w:val="45"/>
        </w:numPr>
        <w:spacing w:after="0" w:line="216" w:lineRule="auto"/>
        <w:ind w:left="714" w:hanging="357"/>
        <w:rPr>
          <w:lang w:val="en-GB"/>
        </w:rPr>
      </w:pPr>
      <w:r>
        <w:rPr>
          <w:lang w:val="en-GB"/>
        </w:rPr>
        <w:t xml:space="preserve">By 2050, EVs are expected to be lower cost than their petroleum- (or biofuel-) fuelled counterparts </w:t>
      </w:r>
      <w:proofErr w:type="gramStart"/>
      <w:r>
        <w:rPr>
          <w:lang w:val="en-GB"/>
        </w:rPr>
        <w:t>and also</w:t>
      </w:r>
      <w:proofErr w:type="gramEnd"/>
      <w:r>
        <w:rPr>
          <w:lang w:val="en-GB"/>
        </w:rPr>
        <w:t xml:space="preserve"> lower cost to operate and maintain. At this stage, the position of EVs in the market should be market-driven and less influenced by policy interventions. Adding the unknown status of other technologies that might be developed in the interim, it seems unwise to target a certain EV penetration or population as far out as 2050.</w:t>
      </w:r>
    </w:p>
    <w:p w14:paraId="0E1FF8CE" w14:textId="77777777" w:rsidR="002A1F2F" w:rsidRDefault="002A1F2F" w:rsidP="00092925">
      <w:pPr>
        <w:spacing w:after="0" w:line="216" w:lineRule="auto"/>
        <w:rPr>
          <w:lang w:val="en-GB"/>
        </w:rPr>
      </w:pPr>
    </w:p>
    <w:p w14:paraId="23D7FBDE" w14:textId="2FE6409A" w:rsidR="00AE1984" w:rsidRDefault="00AE1984">
      <w:pPr>
        <w:jc w:val="left"/>
        <w:rPr>
          <w:lang w:val="en-GB"/>
        </w:rPr>
      </w:pPr>
    </w:p>
    <w:p w14:paraId="759BA0AB" w14:textId="4C9C50E3" w:rsidR="002A1F2F" w:rsidRPr="00202FD9" w:rsidRDefault="002A1F2F" w:rsidP="00092925">
      <w:pPr>
        <w:spacing w:after="0" w:line="216" w:lineRule="auto"/>
        <w:rPr>
          <w:lang w:val="en-GB"/>
        </w:rPr>
      </w:pPr>
      <w:r w:rsidRPr="00202FD9">
        <w:rPr>
          <w:lang w:val="en-GB"/>
        </w:rPr>
        <w:t>Considered overall, the important status to achieve by 2030 is:</w:t>
      </w:r>
    </w:p>
    <w:p w14:paraId="6E6FB89A" w14:textId="0A78BE78" w:rsidR="002A1F2F" w:rsidRPr="00202FD9" w:rsidRDefault="002A1F2F" w:rsidP="00092925">
      <w:pPr>
        <w:pStyle w:val="ListParagraph"/>
        <w:numPr>
          <w:ilvl w:val="0"/>
          <w:numId w:val="47"/>
        </w:numPr>
        <w:spacing w:after="0" w:line="216" w:lineRule="auto"/>
        <w:rPr>
          <w:lang w:val="en-GB"/>
        </w:rPr>
      </w:pPr>
      <w:r>
        <w:rPr>
          <w:lang w:val="en-GB"/>
        </w:rPr>
        <w:t>Setting</w:t>
      </w:r>
      <w:r w:rsidRPr="00202FD9">
        <w:rPr>
          <w:lang w:val="en-GB"/>
        </w:rPr>
        <w:t xml:space="preserve"> EV enabling systems in place so that there are no significant barriers to the uptake of EVs. These include </w:t>
      </w:r>
      <w:r>
        <w:rPr>
          <w:lang w:val="en-GB"/>
        </w:rPr>
        <w:t xml:space="preserve">ensuring </w:t>
      </w:r>
      <w:r w:rsidRPr="00202FD9">
        <w:rPr>
          <w:lang w:val="en-GB"/>
        </w:rPr>
        <w:t>systems</w:t>
      </w:r>
      <w:r>
        <w:rPr>
          <w:lang w:val="en-GB"/>
        </w:rPr>
        <w:t xml:space="preserve"> are in place </w:t>
      </w:r>
      <w:r w:rsidRPr="00202FD9">
        <w:rPr>
          <w:lang w:val="en-GB"/>
        </w:rPr>
        <w:t xml:space="preserve">for </w:t>
      </w:r>
      <w:r>
        <w:rPr>
          <w:lang w:val="en-GB"/>
        </w:rPr>
        <w:t xml:space="preserve">enabling </w:t>
      </w:r>
      <w:r w:rsidRPr="00202FD9">
        <w:rPr>
          <w:lang w:val="en-GB"/>
        </w:rPr>
        <w:t>the introduction and use of low-voltage EV technologies (which require special mention</w:t>
      </w:r>
      <w:r>
        <w:rPr>
          <w:lang w:val="en-GB"/>
        </w:rPr>
        <w:t>,</w:t>
      </w:r>
      <w:r w:rsidRPr="00202FD9">
        <w:rPr>
          <w:lang w:val="en-GB"/>
        </w:rPr>
        <w:t xml:space="preserve"> as such technologies and the opportunities for their use in the PICT region appear to be even less known than for passenger car and larger EVs). </w:t>
      </w:r>
    </w:p>
    <w:p w14:paraId="4F09EF25" w14:textId="77777777" w:rsidR="002A1F2F" w:rsidRDefault="002A1F2F" w:rsidP="00092925">
      <w:pPr>
        <w:pStyle w:val="ListParagraph"/>
        <w:numPr>
          <w:ilvl w:val="0"/>
          <w:numId w:val="47"/>
        </w:numPr>
        <w:spacing w:after="0" w:line="216" w:lineRule="auto"/>
        <w:rPr>
          <w:lang w:val="en-GB"/>
        </w:rPr>
      </w:pPr>
      <w:r>
        <w:rPr>
          <w:lang w:val="en-GB"/>
        </w:rPr>
        <w:t>A degree of normalisation of EVs</w:t>
      </w:r>
      <w:r>
        <w:rPr>
          <w:rStyle w:val="FootnoteReference"/>
          <w:lang w:val="en-GB"/>
        </w:rPr>
        <w:footnoteReference w:id="18"/>
      </w:r>
      <w:r>
        <w:rPr>
          <w:lang w:val="en-GB"/>
        </w:rPr>
        <w:t>, as judged by attaining a certain level of public awareness of EVs.</w:t>
      </w:r>
    </w:p>
    <w:p w14:paraId="4B283A61" w14:textId="77777777" w:rsidR="002A1F2F" w:rsidRPr="00DF02CE" w:rsidRDefault="002A1F2F" w:rsidP="00092925">
      <w:pPr>
        <w:pStyle w:val="ListParagraph"/>
        <w:numPr>
          <w:ilvl w:val="0"/>
          <w:numId w:val="47"/>
        </w:numPr>
        <w:spacing w:after="0" w:line="216" w:lineRule="auto"/>
      </w:pPr>
      <w:r>
        <w:rPr>
          <w:lang w:val="en-GB"/>
        </w:rPr>
        <w:t>Promoting understanding within the industry of the merits of coordinating the charging of EVs with the supply of electricity and realising a reasonable proportion of charging through devices that are capable of managed charging.</w:t>
      </w:r>
    </w:p>
    <w:p w14:paraId="61547035" w14:textId="77777777" w:rsidR="002A1F2F" w:rsidRDefault="002A1F2F" w:rsidP="00092925">
      <w:pPr>
        <w:spacing w:after="0" w:line="216" w:lineRule="auto"/>
      </w:pPr>
    </w:p>
    <w:p w14:paraId="7F617A57" w14:textId="77777777" w:rsidR="002A1F2F" w:rsidRDefault="002A1F2F" w:rsidP="00092925">
      <w:pPr>
        <w:spacing w:after="0" w:line="216" w:lineRule="auto"/>
      </w:pPr>
      <w:r>
        <w:t>And for 2050, the important status to achieve is:</w:t>
      </w:r>
    </w:p>
    <w:p w14:paraId="599F5AAF" w14:textId="77777777" w:rsidR="002A1F2F" w:rsidRDefault="002A1F2F" w:rsidP="00092925">
      <w:pPr>
        <w:pStyle w:val="ListParagraph"/>
        <w:numPr>
          <w:ilvl w:val="0"/>
          <w:numId w:val="48"/>
        </w:numPr>
        <w:spacing w:after="0" w:line="216" w:lineRule="auto"/>
      </w:pPr>
      <w:r>
        <w:t>Passenger car and larger EVs, and low-voltage EVs are normalised technologies and provide integral components of the transport systems across the PICT region, and the use of EVs is well-supported by appropriate infrastructure and industry-wide capability and capacity.</w:t>
      </w:r>
    </w:p>
    <w:p w14:paraId="5166C7CF" w14:textId="77777777" w:rsidR="002A1F2F" w:rsidRDefault="002A1F2F" w:rsidP="00092925">
      <w:pPr>
        <w:pStyle w:val="ListParagraph"/>
        <w:numPr>
          <w:ilvl w:val="0"/>
          <w:numId w:val="48"/>
        </w:numPr>
        <w:spacing w:after="0" w:line="216" w:lineRule="auto"/>
      </w:pPr>
      <w:r>
        <w:t>The vast majority of EV charging is provided through managed charging so that it is coordinated with the supply of electricity.</w:t>
      </w:r>
    </w:p>
    <w:p w14:paraId="6F0C410A" w14:textId="77777777" w:rsidR="002A1F2F" w:rsidRDefault="002A1F2F" w:rsidP="00092925">
      <w:pPr>
        <w:spacing w:before="240" w:after="0" w:line="216" w:lineRule="auto"/>
      </w:pPr>
      <w:r>
        <w:t>Visionary targets stand to be more powerful and more meaningful if they capture the attention of a wide audience. For example, few (beyond those working in the area of policy development) will be inspired by a target that merely comprises ensuring that a list of enabling policy is in place by 2030 (as required by the first bullet-point in the 2030 status achievement list above). By contrast, stipulating that ten different (manufacturer-supported) models of mainstream EVs be available to the market by 2030 is a target that might not only capture the public imagination, but would also send a powerful message to the various EV-related sectors – those in the industry who are better informed would understand that this would require working, enabling policy to be in place and that the supporting service industries would also need to be in place for suppliers of mainstream EVs to operate in the regional marketplace.</w:t>
      </w:r>
    </w:p>
    <w:p w14:paraId="44280B9A" w14:textId="77777777" w:rsidR="002A1F2F" w:rsidRDefault="002A1F2F" w:rsidP="00092925">
      <w:pPr>
        <w:spacing w:before="240" w:after="0" w:line="216" w:lineRule="auto"/>
      </w:pPr>
      <w:r>
        <w:t xml:space="preserve">Similarly, instead of an uninspiring list of the enabling policies that must be attended to, the provision of a commercial battery swapping scheme widens the vision of what might be achieved in the low-voltage mobility and power supply markets. If achieved by 2030, then it is likely that standards would be in place for batteries and devices using them, and for charging. Such a target also provides a vision for a wholly novel form of energy service provision, giving food for thought both to the mobility and the electricity supply industries. </w:t>
      </w:r>
    </w:p>
    <w:p w14:paraId="43A285DA" w14:textId="18C41469" w:rsidR="00BE2933" w:rsidRDefault="005876F0" w:rsidP="00092925">
      <w:pPr>
        <w:spacing w:before="120" w:after="120" w:line="216" w:lineRule="auto"/>
      </w:pPr>
      <w:r>
        <w:t>In line with th</w:t>
      </w:r>
      <w:r w:rsidR="00AE1739">
        <w:t>is discussion</w:t>
      </w:r>
      <w:r>
        <w:t>, Table 1</w:t>
      </w:r>
      <w:r w:rsidR="00BE2933">
        <w:t xml:space="preserve"> (over)</w:t>
      </w:r>
      <w:r>
        <w:t xml:space="preserve"> proposes a number of visionary </w:t>
      </w:r>
      <w:r w:rsidRPr="005876F0">
        <w:t xml:space="preserve">e-mobility targets for the PICTs region </w:t>
      </w:r>
      <w:r>
        <w:t>for</w:t>
      </w:r>
      <w:r w:rsidRPr="005876F0">
        <w:t xml:space="preserve"> 2030 and </w:t>
      </w:r>
      <w:proofErr w:type="gramStart"/>
      <w:r w:rsidRPr="005876F0">
        <w:t>2050</w:t>
      </w:r>
      <w:r>
        <w:t>, and</w:t>
      </w:r>
      <w:proofErr w:type="gramEnd"/>
      <w:r>
        <w:t xml:space="preserve"> describes </w:t>
      </w:r>
      <w:r w:rsidR="00454AD2">
        <w:t xml:space="preserve">how meeting these </w:t>
      </w:r>
      <w:r>
        <w:t>targets might be assessed</w:t>
      </w:r>
      <w:r w:rsidR="00BE2933">
        <w:t>.</w:t>
      </w:r>
      <w:r w:rsidR="00AE1984">
        <w:t xml:space="preserve"> </w:t>
      </w:r>
      <w:r w:rsidR="00BE2933" w:rsidRPr="00BE2933">
        <w:t>These policy target</w:t>
      </w:r>
      <w:r w:rsidR="00BE2933">
        <w:t>s</w:t>
      </w:r>
      <w:r w:rsidR="00BE2933" w:rsidRPr="00BE2933">
        <w:t xml:space="preserve"> are important not only because they provide guidance to countries themselves, but also because they help new vehicle suppliers to direct forward orders. After all, with current global demand much higher than supply, there is little sense in vehicle suppliers considering sales of EVs to countries that do not have supporting policy. For this </w:t>
      </w:r>
      <w:proofErr w:type="gramStart"/>
      <w:r w:rsidR="00BE2933" w:rsidRPr="00BE2933">
        <w:t>reason</w:t>
      </w:r>
      <w:proofErr w:type="gramEnd"/>
      <w:r w:rsidR="00BE2933" w:rsidRPr="00BE2933">
        <w:t xml:space="preserve"> it will be important for PICTs to offer policy in order to stake their claim on future supply of new EVs. For the same reason, these policies must be credible to be taken seriously.  </w:t>
      </w:r>
    </w:p>
    <w:p w14:paraId="4CF5D3A3" w14:textId="77777777" w:rsidR="00BE2933" w:rsidRPr="00BF6818" w:rsidRDefault="00BE2933" w:rsidP="000F6AFC">
      <w:pPr>
        <w:spacing w:line="216" w:lineRule="auto"/>
      </w:pPr>
      <w:r>
        <w:t xml:space="preserve">The regional position on EVs might also be strengthened through alliances with an international electric vehicle coordination initiative such as the International Energy Agency’s “Electric Vehicle Initiative”. Examples of such initiatives are provided in Appendix D. It is recommended that any such alliances are coordinated with other SIDSs, to provide for better alignment within any joint SIDS-SIDS initiatives that develop. </w:t>
      </w:r>
    </w:p>
    <w:p w14:paraId="311AFE4E" w14:textId="47FCADC0" w:rsidR="00BE2933" w:rsidRDefault="00BE2933" w:rsidP="00194394">
      <w:pPr>
        <w:spacing w:before="120" w:after="120" w:line="216" w:lineRule="auto"/>
        <w:jc w:val="left"/>
      </w:pPr>
      <w:r>
        <w:br w:type="page"/>
      </w:r>
    </w:p>
    <w:p w14:paraId="57ECF91A" w14:textId="77777777" w:rsidR="005876F0" w:rsidRDefault="005876F0" w:rsidP="00194394">
      <w:pPr>
        <w:spacing w:before="240" w:after="0" w:line="216" w:lineRule="auto"/>
        <w:jc w:val="left"/>
      </w:pPr>
    </w:p>
    <w:p w14:paraId="5DCF0D2E" w14:textId="77777777" w:rsidR="005876F0" w:rsidRDefault="005876F0" w:rsidP="00E9307D">
      <w:pPr>
        <w:spacing w:after="0" w:line="216" w:lineRule="auto"/>
        <w:jc w:val="left"/>
      </w:pPr>
    </w:p>
    <w:tbl>
      <w:tblPr>
        <w:tblStyle w:val="TableGrid"/>
        <w:tblW w:w="0" w:type="auto"/>
        <w:tblLook w:val="04A0" w:firstRow="1" w:lastRow="0" w:firstColumn="1" w:lastColumn="0" w:noHBand="0" w:noVBand="1"/>
      </w:tblPr>
      <w:tblGrid>
        <w:gridCol w:w="421"/>
        <w:gridCol w:w="4819"/>
        <w:gridCol w:w="3776"/>
      </w:tblGrid>
      <w:tr w:rsidR="00194394" w:rsidRPr="00194394" w14:paraId="6993A9E7" w14:textId="77777777" w:rsidTr="00194394">
        <w:trPr>
          <w:trHeight w:val="350"/>
        </w:trPr>
        <w:tc>
          <w:tcPr>
            <w:tcW w:w="421" w:type="dxa"/>
            <w:shd w:val="clear" w:color="auto" w:fill="1F3864" w:themeFill="accent1" w:themeFillShade="80"/>
          </w:tcPr>
          <w:p w14:paraId="17766F83" w14:textId="77777777" w:rsidR="005876F0" w:rsidRPr="00194394" w:rsidRDefault="005876F0" w:rsidP="003717C3">
            <w:pPr>
              <w:spacing w:line="216" w:lineRule="auto"/>
              <w:jc w:val="left"/>
              <w:rPr>
                <w:b/>
                <w:bCs/>
                <w:color w:val="FFFFFF" w:themeColor="background1"/>
                <w:sz w:val="21"/>
                <w:szCs w:val="21"/>
              </w:rPr>
            </w:pPr>
          </w:p>
        </w:tc>
        <w:tc>
          <w:tcPr>
            <w:tcW w:w="4819" w:type="dxa"/>
            <w:shd w:val="clear" w:color="auto" w:fill="1F3864" w:themeFill="accent1" w:themeFillShade="80"/>
          </w:tcPr>
          <w:p w14:paraId="20E03082" w14:textId="77777777" w:rsidR="00C91DE3" w:rsidRPr="00194394" w:rsidRDefault="00C91DE3" w:rsidP="00202FD9">
            <w:pPr>
              <w:spacing w:line="216" w:lineRule="auto"/>
              <w:jc w:val="center"/>
              <w:rPr>
                <w:b/>
                <w:bCs/>
                <w:color w:val="FFFFFF" w:themeColor="background1"/>
                <w:sz w:val="6"/>
                <w:szCs w:val="6"/>
              </w:rPr>
            </w:pPr>
          </w:p>
          <w:p w14:paraId="35A0C045" w14:textId="379D194B" w:rsidR="005876F0" w:rsidRPr="00194394" w:rsidRDefault="005876F0" w:rsidP="00194394">
            <w:pPr>
              <w:spacing w:line="216" w:lineRule="auto"/>
              <w:jc w:val="center"/>
              <w:rPr>
                <w:b/>
                <w:bCs/>
                <w:color w:val="FFFFFF" w:themeColor="background1"/>
                <w:sz w:val="21"/>
                <w:szCs w:val="21"/>
              </w:rPr>
            </w:pPr>
            <w:r w:rsidRPr="00194394">
              <w:rPr>
                <w:b/>
                <w:bCs/>
                <w:color w:val="FFFFFF" w:themeColor="background1"/>
                <w:sz w:val="21"/>
                <w:szCs w:val="21"/>
              </w:rPr>
              <w:t>Proposed 2030 Regional E-Mobility Target</w:t>
            </w:r>
          </w:p>
        </w:tc>
        <w:tc>
          <w:tcPr>
            <w:tcW w:w="3776" w:type="dxa"/>
            <w:shd w:val="clear" w:color="auto" w:fill="1F3864" w:themeFill="accent1" w:themeFillShade="80"/>
          </w:tcPr>
          <w:p w14:paraId="6307CFB2" w14:textId="77777777" w:rsidR="00C91DE3" w:rsidRPr="00194394" w:rsidRDefault="00C91DE3" w:rsidP="00202FD9">
            <w:pPr>
              <w:spacing w:line="216" w:lineRule="auto"/>
              <w:jc w:val="center"/>
              <w:rPr>
                <w:b/>
                <w:bCs/>
                <w:color w:val="FFFFFF" w:themeColor="background1"/>
                <w:sz w:val="4"/>
                <w:szCs w:val="4"/>
              </w:rPr>
            </w:pPr>
          </w:p>
          <w:p w14:paraId="72FCDC13" w14:textId="53B1B208" w:rsidR="005876F0" w:rsidRPr="00194394" w:rsidRDefault="00AC3C47" w:rsidP="00194394">
            <w:pPr>
              <w:spacing w:line="216" w:lineRule="auto"/>
              <w:jc w:val="center"/>
              <w:rPr>
                <w:b/>
                <w:bCs/>
                <w:color w:val="FFFFFF" w:themeColor="background1"/>
                <w:sz w:val="21"/>
                <w:szCs w:val="21"/>
              </w:rPr>
            </w:pPr>
            <w:r w:rsidRPr="00194394">
              <w:rPr>
                <w:b/>
                <w:bCs/>
                <w:color w:val="FFFFFF" w:themeColor="background1"/>
                <w:sz w:val="21"/>
                <w:szCs w:val="21"/>
              </w:rPr>
              <w:t xml:space="preserve">Proposed </w:t>
            </w:r>
            <w:r w:rsidR="00454AD2" w:rsidRPr="00194394">
              <w:rPr>
                <w:b/>
                <w:bCs/>
                <w:color w:val="FFFFFF" w:themeColor="background1"/>
                <w:sz w:val="21"/>
                <w:szCs w:val="21"/>
              </w:rPr>
              <w:t>Assessment</w:t>
            </w:r>
            <w:r w:rsidRPr="00194394">
              <w:rPr>
                <w:b/>
                <w:bCs/>
                <w:color w:val="FFFFFF" w:themeColor="background1"/>
                <w:sz w:val="21"/>
                <w:szCs w:val="21"/>
              </w:rPr>
              <w:t xml:space="preserve"> Methodology</w:t>
            </w:r>
          </w:p>
        </w:tc>
      </w:tr>
      <w:tr w:rsidR="005876F0" w:rsidRPr="00194394" w14:paraId="1914B3CC" w14:textId="77777777" w:rsidTr="00194394">
        <w:tc>
          <w:tcPr>
            <w:tcW w:w="421" w:type="dxa"/>
          </w:tcPr>
          <w:p w14:paraId="60E9FD6D" w14:textId="1B641BEF" w:rsidR="005876F0" w:rsidRPr="00194394" w:rsidRDefault="005876F0" w:rsidP="00194394">
            <w:pPr>
              <w:spacing w:line="216" w:lineRule="auto"/>
              <w:jc w:val="center"/>
              <w:rPr>
                <w:sz w:val="20"/>
                <w:szCs w:val="20"/>
              </w:rPr>
            </w:pPr>
            <w:r w:rsidRPr="00194394">
              <w:rPr>
                <w:sz w:val="20"/>
                <w:szCs w:val="20"/>
              </w:rPr>
              <w:t>1.</w:t>
            </w:r>
          </w:p>
        </w:tc>
        <w:tc>
          <w:tcPr>
            <w:tcW w:w="4819" w:type="dxa"/>
          </w:tcPr>
          <w:p w14:paraId="0BAC17C4" w14:textId="2D350859" w:rsidR="005876F0" w:rsidRPr="00194394" w:rsidRDefault="00185974" w:rsidP="00E9307D">
            <w:pPr>
              <w:spacing w:line="216" w:lineRule="auto"/>
              <w:jc w:val="left"/>
              <w:rPr>
                <w:sz w:val="20"/>
                <w:szCs w:val="20"/>
              </w:rPr>
            </w:pPr>
            <w:r w:rsidRPr="00194394">
              <w:rPr>
                <w:sz w:val="20"/>
                <w:szCs w:val="20"/>
              </w:rPr>
              <w:t xml:space="preserve">Ten different models of </w:t>
            </w:r>
            <w:proofErr w:type="gramStart"/>
            <w:r w:rsidRPr="00194394">
              <w:rPr>
                <w:sz w:val="20"/>
                <w:szCs w:val="20"/>
              </w:rPr>
              <w:t>manufacturer-supported</w:t>
            </w:r>
            <w:proofErr w:type="gramEnd"/>
            <w:r w:rsidRPr="00194394">
              <w:rPr>
                <w:sz w:val="20"/>
                <w:szCs w:val="20"/>
              </w:rPr>
              <w:t xml:space="preserve">, mainstream EVs are available in the marketplace. </w:t>
            </w:r>
          </w:p>
        </w:tc>
        <w:tc>
          <w:tcPr>
            <w:tcW w:w="3776" w:type="dxa"/>
          </w:tcPr>
          <w:p w14:paraId="64187385" w14:textId="6A5C0009" w:rsidR="005876F0" w:rsidRPr="00194394" w:rsidRDefault="00185974" w:rsidP="00E9307D">
            <w:pPr>
              <w:spacing w:line="216" w:lineRule="auto"/>
              <w:jc w:val="left"/>
              <w:rPr>
                <w:sz w:val="20"/>
                <w:szCs w:val="20"/>
              </w:rPr>
            </w:pPr>
            <w:r w:rsidRPr="00194394">
              <w:rPr>
                <w:sz w:val="20"/>
                <w:szCs w:val="20"/>
              </w:rPr>
              <w:t xml:space="preserve">The number of </w:t>
            </w:r>
            <w:proofErr w:type="gramStart"/>
            <w:r w:rsidRPr="00194394">
              <w:rPr>
                <w:sz w:val="20"/>
                <w:szCs w:val="20"/>
              </w:rPr>
              <w:t>manufacturer-supported</w:t>
            </w:r>
            <w:proofErr w:type="gramEnd"/>
            <w:r w:rsidRPr="00194394">
              <w:rPr>
                <w:sz w:val="20"/>
                <w:szCs w:val="20"/>
              </w:rPr>
              <w:t xml:space="preserve">, mainstream EVs models is 10 or more. </w:t>
            </w:r>
          </w:p>
        </w:tc>
      </w:tr>
      <w:tr w:rsidR="005876F0" w:rsidRPr="00194394" w14:paraId="41F1A9DE" w14:textId="77777777" w:rsidTr="00194394">
        <w:tc>
          <w:tcPr>
            <w:tcW w:w="421" w:type="dxa"/>
          </w:tcPr>
          <w:p w14:paraId="4A4263F6" w14:textId="7F31A3D7" w:rsidR="005876F0" w:rsidRPr="00194394" w:rsidRDefault="00185974" w:rsidP="00194394">
            <w:pPr>
              <w:spacing w:line="216" w:lineRule="auto"/>
              <w:jc w:val="center"/>
              <w:rPr>
                <w:sz w:val="20"/>
                <w:szCs w:val="20"/>
              </w:rPr>
            </w:pPr>
            <w:r w:rsidRPr="00194394">
              <w:rPr>
                <w:sz w:val="20"/>
                <w:szCs w:val="20"/>
              </w:rPr>
              <w:t>2.</w:t>
            </w:r>
          </w:p>
        </w:tc>
        <w:tc>
          <w:tcPr>
            <w:tcW w:w="4819" w:type="dxa"/>
          </w:tcPr>
          <w:p w14:paraId="7001BFD0" w14:textId="7ED50145" w:rsidR="005876F0" w:rsidRPr="00194394" w:rsidRDefault="00F727E3" w:rsidP="00E9307D">
            <w:pPr>
              <w:spacing w:line="216" w:lineRule="auto"/>
              <w:jc w:val="left"/>
              <w:rPr>
                <w:sz w:val="20"/>
                <w:szCs w:val="20"/>
              </w:rPr>
            </w:pPr>
            <w:r w:rsidRPr="00194394">
              <w:rPr>
                <w:sz w:val="20"/>
                <w:szCs w:val="20"/>
              </w:rPr>
              <w:t>Battery swapping for low-voltage mobility use is available on a commercial scale in the marketplace.</w:t>
            </w:r>
          </w:p>
        </w:tc>
        <w:tc>
          <w:tcPr>
            <w:tcW w:w="3776" w:type="dxa"/>
          </w:tcPr>
          <w:p w14:paraId="0E287A8A" w14:textId="035DBF18" w:rsidR="005876F0" w:rsidRPr="00194394" w:rsidRDefault="00F727E3" w:rsidP="00E9307D">
            <w:pPr>
              <w:spacing w:line="216" w:lineRule="auto"/>
              <w:jc w:val="left"/>
              <w:rPr>
                <w:sz w:val="20"/>
                <w:szCs w:val="20"/>
              </w:rPr>
            </w:pPr>
            <w:r w:rsidRPr="00194394">
              <w:rPr>
                <w:sz w:val="20"/>
                <w:szCs w:val="20"/>
              </w:rPr>
              <w:t xml:space="preserve">There exists at least </w:t>
            </w:r>
            <w:proofErr w:type="gramStart"/>
            <w:r w:rsidRPr="00194394">
              <w:rPr>
                <w:sz w:val="20"/>
                <w:szCs w:val="20"/>
              </w:rPr>
              <w:t>one party</w:t>
            </w:r>
            <w:proofErr w:type="gramEnd"/>
            <w:r w:rsidRPr="00194394">
              <w:rPr>
                <w:sz w:val="20"/>
                <w:szCs w:val="20"/>
              </w:rPr>
              <w:t xml:space="preserve"> providing battery swapping services involving a cluster of rechargeable batteries</w:t>
            </w:r>
            <w:r w:rsidR="00AC3C47" w:rsidRPr="00194394">
              <w:rPr>
                <w:sz w:val="20"/>
                <w:szCs w:val="20"/>
              </w:rPr>
              <w:t>,</w:t>
            </w:r>
            <w:r w:rsidRPr="00194394">
              <w:rPr>
                <w:sz w:val="20"/>
                <w:szCs w:val="20"/>
              </w:rPr>
              <w:t xml:space="preserve"> with combined energy capacity of at least 1,000 kWh</w:t>
            </w:r>
            <w:r w:rsidR="00AC3C47" w:rsidRPr="00194394">
              <w:rPr>
                <w:sz w:val="20"/>
                <w:szCs w:val="20"/>
              </w:rPr>
              <w:t>,</w:t>
            </w:r>
            <w:r w:rsidRPr="00194394">
              <w:rPr>
                <w:sz w:val="20"/>
                <w:szCs w:val="20"/>
              </w:rPr>
              <w:t xml:space="preserve"> that can be used for low-voltage e-mobility. </w:t>
            </w:r>
          </w:p>
        </w:tc>
      </w:tr>
      <w:tr w:rsidR="00AC3C47" w:rsidRPr="00194394" w14:paraId="6FF562B7" w14:textId="77777777" w:rsidTr="00454AD2">
        <w:tc>
          <w:tcPr>
            <w:tcW w:w="421" w:type="dxa"/>
          </w:tcPr>
          <w:p w14:paraId="05799D0A" w14:textId="2530585C" w:rsidR="00AC3C47" w:rsidRPr="00194394" w:rsidRDefault="00AC3C47" w:rsidP="005876F0">
            <w:pPr>
              <w:spacing w:line="216" w:lineRule="auto"/>
              <w:jc w:val="center"/>
              <w:rPr>
                <w:sz w:val="20"/>
                <w:szCs w:val="20"/>
              </w:rPr>
            </w:pPr>
            <w:r w:rsidRPr="00194394">
              <w:rPr>
                <w:sz w:val="20"/>
                <w:szCs w:val="20"/>
              </w:rPr>
              <w:t>3.</w:t>
            </w:r>
          </w:p>
        </w:tc>
        <w:tc>
          <w:tcPr>
            <w:tcW w:w="4819" w:type="dxa"/>
          </w:tcPr>
          <w:p w14:paraId="258A3AD6" w14:textId="2058A194" w:rsidR="00AC3C47" w:rsidRPr="00194394" w:rsidRDefault="007B3012" w:rsidP="00E9307D">
            <w:pPr>
              <w:spacing w:line="216" w:lineRule="auto"/>
              <w:jc w:val="left"/>
              <w:rPr>
                <w:sz w:val="20"/>
                <w:szCs w:val="20"/>
              </w:rPr>
            </w:pPr>
            <w:r w:rsidRPr="00194394">
              <w:rPr>
                <w:sz w:val="20"/>
                <w:szCs w:val="20"/>
              </w:rPr>
              <w:t>There is good public awareness of EVs.</w:t>
            </w:r>
          </w:p>
        </w:tc>
        <w:tc>
          <w:tcPr>
            <w:tcW w:w="3776" w:type="dxa"/>
          </w:tcPr>
          <w:p w14:paraId="42FFF20B" w14:textId="530AD789" w:rsidR="00AC3C47" w:rsidRPr="00194394" w:rsidRDefault="007B3012" w:rsidP="00E9307D">
            <w:pPr>
              <w:spacing w:line="216" w:lineRule="auto"/>
              <w:jc w:val="left"/>
              <w:rPr>
                <w:sz w:val="20"/>
                <w:szCs w:val="20"/>
              </w:rPr>
            </w:pPr>
            <w:r w:rsidRPr="00194394">
              <w:rPr>
                <w:sz w:val="20"/>
                <w:szCs w:val="20"/>
              </w:rPr>
              <w:t xml:space="preserve">Survey – 50% of randomly selected survey participants can describe what an EV is. </w:t>
            </w:r>
          </w:p>
        </w:tc>
      </w:tr>
      <w:tr w:rsidR="005876F0" w:rsidRPr="00194394" w14:paraId="39C136F6" w14:textId="77777777" w:rsidTr="00194394">
        <w:tc>
          <w:tcPr>
            <w:tcW w:w="421" w:type="dxa"/>
          </w:tcPr>
          <w:p w14:paraId="6F0E8A27" w14:textId="1920B3D4" w:rsidR="005876F0" w:rsidRPr="00194394" w:rsidRDefault="00AC3C47" w:rsidP="00194394">
            <w:pPr>
              <w:spacing w:line="216" w:lineRule="auto"/>
              <w:jc w:val="center"/>
              <w:rPr>
                <w:sz w:val="20"/>
                <w:szCs w:val="20"/>
              </w:rPr>
            </w:pPr>
            <w:r w:rsidRPr="00194394">
              <w:rPr>
                <w:sz w:val="20"/>
                <w:szCs w:val="20"/>
              </w:rPr>
              <w:t>4</w:t>
            </w:r>
            <w:r w:rsidR="00F727E3" w:rsidRPr="00194394">
              <w:rPr>
                <w:sz w:val="20"/>
                <w:szCs w:val="20"/>
              </w:rPr>
              <w:t>.</w:t>
            </w:r>
          </w:p>
        </w:tc>
        <w:tc>
          <w:tcPr>
            <w:tcW w:w="4819" w:type="dxa"/>
          </w:tcPr>
          <w:p w14:paraId="1BD6F893" w14:textId="3D3D5C29" w:rsidR="005876F0" w:rsidRPr="00194394" w:rsidRDefault="00AC3C47" w:rsidP="00E9307D">
            <w:pPr>
              <w:spacing w:line="216" w:lineRule="auto"/>
              <w:jc w:val="left"/>
              <w:rPr>
                <w:sz w:val="20"/>
                <w:szCs w:val="20"/>
              </w:rPr>
            </w:pPr>
            <w:r w:rsidRPr="00194394">
              <w:rPr>
                <w:sz w:val="20"/>
                <w:szCs w:val="20"/>
              </w:rPr>
              <w:t>50% of all mainstream EVs are charged through devices that are managed-charging enabled.</w:t>
            </w:r>
          </w:p>
        </w:tc>
        <w:tc>
          <w:tcPr>
            <w:tcW w:w="3776" w:type="dxa"/>
          </w:tcPr>
          <w:p w14:paraId="06B51344" w14:textId="1748BE9C" w:rsidR="00AC3C47" w:rsidRPr="00194394" w:rsidRDefault="00AC3C47" w:rsidP="00E9307D">
            <w:pPr>
              <w:spacing w:line="216" w:lineRule="auto"/>
              <w:jc w:val="left"/>
              <w:rPr>
                <w:sz w:val="20"/>
                <w:szCs w:val="20"/>
              </w:rPr>
            </w:pPr>
            <w:r w:rsidRPr="00194394">
              <w:rPr>
                <w:sz w:val="20"/>
                <w:szCs w:val="20"/>
              </w:rPr>
              <w:t xml:space="preserve">Survey – of charging arrangements.  </w:t>
            </w:r>
          </w:p>
          <w:p w14:paraId="210AE35D" w14:textId="645275AA" w:rsidR="005876F0" w:rsidRPr="00194394" w:rsidRDefault="00AC3C47" w:rsidP="00E9307D">
            <w:pPr>
              <w:spacing w:line="216" w:lineRule="auto"/>
              <w:jc w:val="left"/>
              <w:rPr>
                <w:sz w:val="20"/>
                <w:szCs w:val="20"/>
              </w:rPr>
            </w:pPr>
            <w:r w:rsidRPr="00194394">
              <w:rPr>
                <w:sz w:val="20"/>
                <w:szCs w:val="20"/>
              </w:rPr>
              <w:t>Note that this target does not require charging to be managed at this stage, only that the devices used to charge EV have the capability. This prepares the industry for when it makes sense to switch to managed charging.</w:t>
            </w:r>
          </w:p>
        </w:tc>
      </w:tr>
      <w:tr w:rsidR="00202FD9" w:rsidRPr="00194394" w14:paraId="150DEABA" w14:textId="77777777" w:rsidTr="00194394">
        <w:trPr>
          <w:trHeight w:val="352"/>
        </w:trPr>
        <w:tc>
          <w:tcPr>
            <w:tcW w:w="421" w:type="dxa"/>
            <w:shd w:val="clear" w:color="auto" w:fill="1F3864" w:themeFill="accent1" w:themeFillShade="80"/>
          </w:tcPr>
          <w:p w14:paraId="44663C7B" w14:textId="77777777" w:rsidR="00202FD9" w:rsidRPr="00194394" w:rsidRDefault="00202FD9" w:rsidP="00194394">
            <w:pPr>
              <w:spacing w:line="216" w:lineRule="auto"/>
              <w:jc w:val="center"/>
              <w:rPr>
                <w:b/>
                <w:bCs/>
                <w:color w:val="FFFFFF" w:themeColor="background1"/>
                <w:sz w:val="21"/>
                <w:szCs w:val="21"/>
              </w:rPr>
            </w:pPr>
          </w:p>
        </w:tc>
        <w:tc>
          <w:tcPr>
            <w:tcW w:w="4819" w:type="dxa"/>
            <w:shd w:val="clear" w:color="auto" w:fill="1F3864" w:themeFill="accent1" w:themeFillShade="80"/>
          </w:tcPr>
          <w:p w14:paraId="55775338" w14:textId="77777777" w:rsidR="00C91DE3" w:rsidRPr="00194394" w:rsidRDefault="00C91DE3" w:rsidP="00202FD9">
            <w:pPr>
              <w:spacing w:line="216" w:lineRule="auto"/>
              <w:jc w:val="left"/>
              <w:rPr>
                <w:b/>
                <w:bCs/>
                <w:color w:val="FFFFFF" w:themeColor="background1"/>
                <w:sz w:val="6"/>
                <w:szCs w:val="6"/>
              </w:rPr>
            </w:pPr>
          </w:p>
          <w:p w14:paraId="212B0E9B" w14:textId="32C1F240" w:rsidR="00202FD9" w:rsidRPr="00194394" w:rsidRDefault="00202FD9" w:rsidP="00202FD9">
            <w:pPr>
              <w:spacing w:line="216" w:lineRule="auto"/>
              <w:jc w:val="left"/>
              <w:rPr>
                <w:b/>
                <w:bCs/>
                <w:color w:val="FFFFFF" w:themeColor="background1"/>
                <w:sz w:val="21"/>
                <w:szCs w:val="21"/>
              </w:rPr>
            </w:pPr>
            <w:r w:rsidRPr="00194394">
              <w:rPr>
                <w:b/>
                <w:bCs/>
                <w:color w:val="FFFFFF" w:themeColor="background1"/>
                <w:sz w:val="21"/>
                <w:szCs w:val="21"/>
              </w:rPr>
              <w:t xml:space="preserve">Proposed 2050 Regional E-Mobility Targets </w:t>
            </w:r>
          </w:p>
        </w:tc>
        <w:tc>
          <w:tcPr>
            <w:tcW w:w="3776" w:type="dxa"/>
            <w:shd w:val="clear" w:color="auto" w:fill="1F3864" w:themeFill="accent1" w:themeFillShade="80"/>
          </w:tcPr>
          <w:p w14:paraId="3D129E6A" w14:textId="77777777" w:rsidR="00C91DE3" w:rsidRPr="00194394" w:rsidRDefault="00C91DE3" w:rsidP="00202FD9">
            <w:pPr>
              <w:spacing w:line="216" w:lineRule="auto"/>
              <w:jc w:val="center"/>
              <w:rPr>
                <w:b/>
                <w:bCs/>
                <w:color w:val="FFFFFF" w:themeColor="background1"/>
                <w:sz w:val="6"/>
                <w:szCs w:val="6"/>
              </w:rPr>
            </w:pPr>
          </w:p>
          <w:p w14:paraId="0BDC1492" w14:textId="5DC0809B" w:rsidR="00202FD9" w:rsidRPr="00194394" w:rsidRDefault="00202FD9" w:rsidP="00194394">
            <w:pPr>
              <w:spacing w:line="216" w:lineRule="auto"/>
              <w:jc w:val="center"/>
              <w:rPr>
                <w:b/>
                <w:bCs/>
                <w:color w:val="FFFFFF" w:themeColor="background1"/>
                <w:sz w:val="21"/>
                <w:szCs w:val="21"/>
              </w:rPr>
            </w:pPr>
            <w:r w:rsidRPr="00194394">
              <w:rPr>
                <w:b/>
                <w:bCs/>
                <w:color w:val="FFFFFF" w:themeColor="background1"/>
                <w:sz w:val="21"/>
                <w:szCs w:val="21"/>
              </w:rPr>
              <w:t>Proposed Assessment Methodology</w:t>
            </w:r>
          </w:p>
        </w:tc>
      </w:tr>
      <w:tr w:rsidR="00202FD9" w:rsidRPr="00194394" w14:paraId="5FEB9D21" w14:textId="77777777" w:rsidTr="00194394">
        <w:tc>
          <w:tcPr>
            <w:tcW w:w="421" w:type="dxa"/>
          </w:tcPr>
          <w:p w14:paraId="51F29233" w14:textId="1B97B44A" w:rsidR="00202FD9" w:rsidRPr="00194394" w:rsidRDefault="00202FD9" w:rsidP="00194394">
            <w:pPr>
              <w:spacing w:line="216" w:lineRule="auto"/>
              <w:jc w:val="center"/>
              <w:rPr>
                <w:sz w:val="20"/>
                <w:szCs w:val="20"/>
              </w:rPr>
            </w:pPr>
            <w:r w:rsidRPr="00194394">
              <w:rPr>
                <w:sz w:val="20"/>
                <w:szCs w:val="20"/>
              </w:rPr>
              <w:t>5.</w:t>
            </w:r>
          </w:p>
        </w:tc>
        <w:tc>
          <w:tcPr>
            <w:tcW w:w="4819" w:type="dxa"/>
          </w:tcPr>
          <w:p w14:paraId="61DF83F2" w14:textId="203F5066" w:rsidR="00202FD9" w:rsidRPr="00194394" w:rsidRDefault="00202FD9" w:rsidP="00202FD9">
            <w:pPr>
              <w:spacing w:line="216" w:lineRule="auto"/>
              <w:jc w:val="left"/>
              <w:rPr>
                <w:sz w:val="20"/>
                <w:szCs w:val="20"/>
              </w:rPr>
            </w:pPr>
            <w:r w:rsidRPr="00194394">
              <w:rPr>
                <w:sz w:val="20"/>
                <w:szCs w:val="20"/>
              </w:rPr>
              <w:t xml:space="preserve">Services provided by EVs are an integral and significant component of transport within the region and include single-person electrically assisted mobility options through to electric trucks, buses and boats.   </w:t>
            </w:r>
          </w:p>
        </w:tc>
        <w:tc>
          <w:tcPr>
            <w:tcW w:w="3776" w:type="dxa"/>
          </w:tcPr>
          <w:p w14:paraId="56D5B773" w14:textId="2FC3BB27" w:rsidR="00202FD9" w:rsidRPr="00194394" w:rsidRDefault="00202FD9" w:rsidP="00202FD9">
            <w:pPr>
              <w:spacing w:line="216" w:lineRule="auto"/>
              <w:jc w:val="left"/>
              <w:rPr>
                <w:sz w:val="20"/>
                <w:szCs w:val="20"/>
              </w:rPr>
            </w:pPr>
            <w:r w:rsidRPr="00194394">
              <w:rPr>
                <w:sz w:val="20"/>
                <w:szCs w:val="20"/>
              </w:rPr>
              <w:t xml:space="preserve">There is widespread use of EVs throughout the transport sector. </w:t>
            </w:r>
          </w:p>
        </w:tc>
      </w:tr>
      <w:tr w:rsidR="00202FD9" w:rsidRPr="00194394" w14:paraId="3C817063" w14:textId="77777777" w:rsidTr="00194394">
        <w:tc>
          <w:tcPr>
            <w:tcW w:w="421" w:type="dxa"/>
          </w:tcPr>
          <w:p w14:paraId="6CF7D978" w14:textId="6FE3D1CB" w:rsidR="00202FD9" w:rsidRPr="00194394" w:rsidRDefault="00202FD9" w:rsidP="00194394">
            <w:pPr>
              <w:spacing w:line="216" w:lineRule="auto"/>
              <w:jc w:val="center"/>
              <w:rPr>
                <w:sz w:val="20"/>
                <w:szCs w:val="20"/>
              </w:rPr>
            </w:pPr>
            <w:r w:rsidRPr="00194394">
              <w:rPr>
                <w:sz w:val="20"/>
                <w:szCs w:val="20"/>
              </w:rPr>
              <w:t>6.</w:t>
            </w:r>
          </w:p>
        </w:tc>
        <w:tc>
          <w:tcPr>
            <w:tcW w:w="4819" w:type="dxa"/>
          </w:tcPr>
          <w:p w14:paraId="7B5ED2AA" w14:textId="3C3EBB8D" w:rsidR="00202FD9" w:rsidRPr="00194394" w:rsidRDefault="00202FD9" w:rsidP="00202FD9">
            <w:pPr>
              <w:spacing w:line="216" w:lineRule="auto"/>
              <w:jc w:val="left"/>
              <w:rPr>
                <w:sz w:val="20"/>
                <w:szCs w:val="20"/>
              </w:rPr>
            </w:pPr>
            <w:r w:rsidRPr="00194394">
              <w:rPr>
                <w:sz w:val="20"/>
                <w:szCs w:val="20"/>
              </w:rPr>
              <w:t xml:space="preserve">90% of grid-supplied charging of mainstream EVs is provided through managed-charging systems. </w:t>
            </w:r>
          </w:p>
        </w:tc>
        <w:tc>
          <w:tcPr>
            <w:tcW w:w="3776" w:type="dxa"/>
          </w:tcPr>
          <w:p w14:paraId="7FC4D08B" w14:textId="2A6F7718" w:rsidR="00202FD9" w:rsidRPr="00194394" w:rsidRDefault="00202FD9" w:rsidP="00202FD9">
            <w:pPr>
              <w:spacing w:line="216" w:lineRule="auto"/>
              <w:jc w:val="left"/>
              <w:rPr>
                <w:sz w:val="20"/>
                <w:szCs w:val="20"/>
              </w:rPr>
            </w:pPr>
            <w:r w:rsidRPr="00194394">
              <w:rPr>
                <w:sz w:val="20"/>
                <w:szCs w:val="20"/>
              </w:rPr>
              <w:t xml:space="preserve">The grid-supplied power metered through managed-charging devices accounts for at least 90% of the estimated grid-supplied power provided for EV charging. </w:t>
            </w:r>
          </w:p>
        </w:tc>
      </w:tr>
    </w:tbl>
    <w:p w14:paraId="3EA16C2B" w14:textId="45EF8CB9" w:rsidR="00B55993" w:rsidRPr="00194394" w:rsidRDefault="00903CAB" w:rsidP="00194394">
      <w:pPr>
        <w:spacing w:after="0" w:line="216" w:lineRule="auto"/>
        <w:jc w:val="center"/>
        <w:rPr>
          <w:b/>
          <w:bCs/>
          <w:sz w:val="20"/>
          <w:szCs w:val="20"/>
        </w:rPr>
      </w:pPr>
      <w:r w:rsidRPr="00194394">
        <w:rPr>
          <w:b/>
          <w:bCs/>
          <w:sz w:val="20"/>
          <w:szCs w:val="20"/>
        </w:rPr>
        <w:t>Table 1: Proposed 2030 and 2050 E-Mobility Targets and Method to Access their Achievement</w:t>
      </w:r>
    </w:p>
    <w:p w14:paraId="33B63787" w14:textId="77777777" w:rsidR="00903CAB" w:rsidRPr="002F47F6" w:rsidRDefault="00903CAB" w:rsidP="002F47F6">
      <w:pPr>
        <w:spacing w:line="216" w:lineRule="auto"/>
      </w:pPr>
    </w:p>
    <w:p w14:paraId="2E2FBE7C" w14:textId="65FC4F33" w:rsidR="0019638F" w:rsidRDefault="00C204F8" w:rsidP="002F47F6">
      <w:pPr>
        <w:spacing w:line="216" w:lineRule="auto"/>
      </w:pPr>
      <w:r w:rsidRPr="00BF6818">
        <w:t>Finally</w:t>
      </w:r>
      <w:r w:rsidR="00914C90" w:rsidRPr="00BF6818">
        <w:t xml:space="preserve">, </w:t>
      </w:r>
      <w:r w:rsidRPr="00BF6818">
        <w:t>amongst high-level policy options, it is worth noting that a</w:t>
      </w:r>
      <w:r w:rsidR="00914C90" w:rsidRPr="00BF6818">
        <w:t xml:space="preserve"> ban on petroleum-fuelled vehicles</w:t>
      </w:r>
      <w:r w:rsidRPr="00BF6818">
        <w:t xml:space="preserve"> —</w:t>
      </w:r>
      <w:r w:rsidR="00504BDD" w:rsidRPr="00BF6818">
        <w:t xml:space="preserve"> a policy that has been used overseas to encourage market move</w:t>
      </w:r>
      <w:r w:rsidR="004F236F" w:rsidRPr="00BF6818">
        <w:t>ment</w:t>
      </w:r>
      <w:r w:rsidR="00504BDD" w:rsidRPr="00BF6818">
        <w:t xml:space="preserve"> to the use of electric vehicles</w:t>
      </w:r>
      <w:r w:rsidRPr="00BF6818">
        <w:t xml:space="preserve"> — </w:t>
      </w:r>
      <w:r w:rsidR="00914C90" w:rsidRPr="00BF6818">
        <w:t xml:space="preserve">would appear </w:t>
      </w:r>
      <w:r w:rsidRPr="00BF6818">
        <w:t xml:space="preserve">to be </w:t>
      </w:r>
      <w:r w:rsidR="00914C90" w:rsidRPr="00BF6818">
        <w:t>short-sighted in the PICTs context</w:t>
      </w:r>
      <w:r w:rsidRPr="00BF6818">
        <w:t>,</w:t>
      </w:r>
      <w:r w:rsidR="00914C90" w:rsidRPr="00BF6818">
        <w:t xml:space="preserve"> as there is potential for biofuels (</w:t>
      </w:r>
      <w:r w:rsidR="00504BDD" w:rsidRPr="00BF6818">
        <w:t xml:space="preserve">at least </w:t>
      </w:r>
      <w:r w:rsidR="00914C90" w:rsidRPr="00BF6818">
        <w:t>biodiesel and</w:t>
      </w:r>
      <w:r w:rsidR="004F236F" w:rsidRPr="00BF6818">
        <w:t>/or</w:t>
      </w:r>
      <w:r w:rsidR="00914C90" w:rsidRPr="00BF6818">
        <w:t xml:space="preserve"> ethanol) to feature significantly in </w:t>
      </w:r>
      <w:r w:rsidR="00504BDD" w:rsidRPr="00BF6818">
        <w:t xml:space="preserve">future mobility in the </w:t>
      </w:r>
      <w:r w:rsidRPr="00BF6818">
        <w:t>region</w:t>
      </w:r>
      <w:r w:rsidR="00504BDD" w:rsidRPr="00BF6818">
        <w:t>.</w:t>
      </w:r>
      <w:r w:rsidR="004F236F" w:rsidRPr="00BF6818">
        <w:t xml:space="preserve"> A </w:t>
      </w:r>
      <w:r w:rsidR="002A1F2F">
        <w:t xml:space="preserve">goal for </w:t>
      </w:r>
      <w:r w:rsidR="004F236F" w:rsidRPr="00BF6818">
        <w:t xml:space="preserve">zero-emissions </w:t>
      </w:r>
      <w:r w:rsidR="00202FD9" w:rsidRPr="00BF6818">
        <w:t xml:space="preserve">(based on net carbon emissions) </w:t>
      </w:r>
      <w:r w:rsidR="00202FD9">
        <w:t xml:space="preserve">or zero-imported fuel </w:t>
      </w:r>
      <w:r w:rsidR="004F236F" w:rsidRPr="00BF6818">
        <w:t xml:space="preserve">goal </w:t>
      </w:r>
      <w:r w:rsidR="00EE3FF7" w:rsidRPr="00BF6818">
        <w:t>is expected to be far more fitting</w:t>
      </w:r>
      <w:r w:rsidR="004F236F" w:rsidRPr="00BF6818">
        <w:t xml:space="preserve"> </w:t>
      </w:r>
      <w:r w:rsidR="00EE3FF7" w:rsidRPr="00BF6818">
        <w:t>for PICTs.</w:t>
      </w:r>
      <w:r w:rsidR="004F236F" w:rsidRPr="00BF6818">
        <w:t xml:space="preserve"> </w:t>
      </w:r>
    </w:p>
    <w:p w14:paraId="008FC8A0" w14:textId="1B77520A" w:rsidR="00784959" w:rsidRPr="00194394" w:rsidRDefault="006E355C" w:rsidP="00194394">
      <w:pPr>
        <w:pStyle w:val="Heading1"/>
        <w:rPr>
          <w:rFonts w:asciiTheme="minorHAnsi" w:hAnsiTheme="minorHAnsi" w:cstheme="minorHAnsi"/>
          <w:b/>
          <w:color w:val="1F3864" w:themeColor="accent1" w:themeShade="80"/>
          <w:sz w:val="24"/>
        </w:rPr>
      </w:pPr>
      <w:bookmarkStart w:id="25" w:name="_Toc38034048"/>
      <w:bookmarkStart w:id="26" w:name="_Toc38034049"/>
      <w:bookmarkStart w:id="27" w:name="_Toc38034050"/>
      <w:bookmarkEnd w:id="25"/>
      <w:bookmarkEnd w:id="26"/>
      <w:r w:rsidRPr="00194394">
        <w:rPr>
          <w:rFonts w:asciiTheme="minorHAnsi" w:hAnsiTheme="minorHAnsi" w:cstheme="minorHAnsi"/>
          <w:b/>
          <w:color w:val="1F3864" w:themeColor="accent1" w:themeShade="80"/>
          <w:sz w:val="24"/>
        </w:rPr>
        <w:t xml:space="preserve">Electric Vehicle Policy </w:t>
      </w:r>
      <w:r w:rsidR="0054193B" w:rsidRPr="00194394">
        <w:rPr>
          <w:rFonts w:asciiTheme="minorHAnsi" w:hAnsiTheme="minorHAnsi" w:cstheme="minorHAnsi"/>
          <w:b/>
          <w:color w:val="1F3864" w:themeColor="accent1" w:themeShade="80"/>
          <w:sz w:val="24"/>
        </w:rPr>
        <w:t>Actions</w:t>
      </w:r>
      <w:bookmarkEnd w:id="27"/>
    </w:p>
    <w:p w14:paraId="271056E0" w14:textId="3B395352" w:rsidR="007F1786" w:rsidRDefault="00C204F8" w:rsidP="002F47F6">
      <w:pPr>
        <w:spacing w:line="216" w:lineRule="auto"/>
      </w:pPr>
      <w:r>
        <w:t>“P</w:t>
      </w:r>
      <w:r w:rsidR="007F1786">
        <w:t xml:space="preserve">olicy </w:t>
      </w:r>
      <w:r w:rsidR="0054193B">
        <w:t>actions</w:t>
      </w:r>
      <w:r w:rsidR="00EE3FF7">
        <w:t>” lie a level or more below high</w:t>
      </w:r>
      <w:r w:rsidR="003B5202">
        <w:t>-</w:t>
      </w:r>
      <w:r w:rsidR="00EE3FF7">
        <w:t>level policy</w:t>
      </w:r>
      <w:r w:rsidR="003717C3">
        <w:t>/policy targets</w:t>
      </w:r>
      <w:r w:rsidR="00EE3FF7">
        <w:t xml:space="preserve"> and are the </w:t>
      </w:r>
      <w:r w:rsidR="007F1786">
        <w:t xml:space="preserve">working face of policy – they are the </w:t>
      </w:r>
      <w:r>
        <w:t xml:space="preserve">collection </w:t>
      </w:r>
      <w:r w:rsidR="007F1786">
        <w:t xml:space="preserve">of </w:t>
      </w:r>
      <w:r w:rsidR="003717C3">
        <w:t xml:space="preserve">activities </w:t>
      </w:r>
      <w:r w:rsidR="007F1786">
        <w:t xml:space="preserve">that aim to deliver the targets </w:t>
      </w:r>
      <w:r>
        <w:t>set by</w:t>
      </w:r>
      <w:r w:rsidR="007F1786">
        <w:t xml:space="preserve"> high-level policy. </w:t>
      </w:r>
    </w:p>
    <w:p w14:paraId="38E1A46C" w14:textId="4F897A1D" w:rsidR="0007217B" w:rsidRDefault="00C204F8" w:rsidP="002F47F6">
      <w:pPr>
        <w:spacing w:line="216" w:lineRule="auto"/>
      </w:pPr>
      <w:r>
        <w:t>T</w:t>
      </w:r>
      <w:r w:rsidR="008F611C">
        <w:t xml:space="preserve">here is now </w:t>
      </w:r>
      <w:r>
        <w:t xml:space="preserve">plenty of </w:t>
      </w:r>
      <w:r w:rsidR="008F611C">
        <w:t xml:space="preserve">information available and lessons learned to draw from with respect </w:t>
      </w:r>
      <w:r>
        <w:t xml:space="preserve">to </w:t>
      </w:r>
      <w:r w:rsidR="007F1786">
        <w:t xml:space="preserve">identifying and developing </w:t>
      </w:r>
      <w:r w:rsidR="008F611C">
        <w:t xml:space="preserve">policy </w:t>
      </w:r>
      <w:r w:rsidR="003717C3">
        <w:t xml:space="preserve">actions </w:t>
      </w:r>
      <w:r w:rsidR="008F611C">
        <w:t>to support the uptake of EVs. The International Council on Clean Transportation (ICCT) publication “Electric Vehicle Guidebook for Indian States</w:t>
      </w:r>
      <w:r w:rsidR="00805C6B">
        <w:t>”</w:t>
      </w:r>
      <w:r w:rsidR="00805C6B">
        <w:rPr>
          <w:rStyle w:val="FootnoteReference"/>
        </w:rPr>
        <w:footnoteReference w:id="19"/>
      </w:r>
      <w:r w:rsidR="008F611C">
        <w:t xml:space="preserve"> </w:t>
      </w:r>
      <w:r>
        <w:t xml:space="preserve">is </w:t>
      </w:r>
      <w:r w:rsidR="00805C6B">
        <w:t xml:space="preserve">a good example of how these </w:t>
      </w:r>
      <w:r w:rsidR="007F1786">
        <w:t xml:space="preserve">global </w:t>
      </w:r>
      <w:r w:rsidR="00805C6B">
        <w:t xml:space="preserve">learnings </w:t>
      </w:r>
      <w:r w:rsidR="007F1786">
        <w:t xml:space="preserve">can be brought together to </w:t>
      </w:r>
      <w:r w:rsidR="00805C6B">
        <w:t xml:space="preserve">inform </w:t>
      </w:r>
      <w:r w:rsidR="007F1786">
        <w:t xml:space="preserve">the </w:t>
      </w:r>
      <w:r w:rsidR="00805C6B">
        <w:t xml:space="preserve">development </w:t>
      </w:r>
      <w:r w:rsidR="007F1786">
        <w:t xml:space="preserve">of policy </w:t>
      </w:r>
      <w:r w:rsidR="0054193B">
        <w:t>actions</w:t>
      </w:r>
      <w:r w:rsidR="0007217B">
        <w:t>.</w:t>
      </w:r>
      <w:r w:rsidR="00B1615D">
        <w:t xml:space="preserve"> </w:t>
      </w:r>
      <w:r w:rsidR="003B5202">
        <w:t xml:space="preserve">However, </w:t>
      </w:r>
      <w:r w:rsidR="00B1615D">
        <w:t>care</w:t>
      </w:r>
      <w:r w:rsidR="00805C6B">
        <w:t xml:space="preserve"> is required </w:t>
      </w:r>
      <w:r w:rsidR="007F1786">
        <w:t xml:space="preserve">when </w:t>
      </w:r>
      <w:r w:rsidR="0007217B">
        <w:t xml:space="preserve">applying the learnings to </w:t>
      </w:r>
      <w:r w:rsidR="00BD7FDE">
        <w:t xml:space="preserve">such </w:t>
      </w:r>
      <w:r w:rsidR="0007217B">
        <w:t>different settings</w:t>
      </w:r>
      <w:r w:rsidR="00BD7FDE">
        <w:t xml:space="preserve"> as many PICTs present</w:t>
      </w:r>
      <w:r w:rsidR="0007217B">
        <w:t>. Th</w:t>
      </w:r>
      <w:r w:rsidR="00B1615D">
        <w:t xml:space="preserve">e </w:t>
      </w:r>
      <w:r w:rsidR="00BD7FDE">
        <w:t>relevant features of</w:t>
      </w:r>
      <w:r w:rsidR="00B1615D">
        <w:t xml:space="preserve"> the PICTs</w:t>
      </w:r>
      <w:r w:rsidR="0007217B">
        <w:t xml:space="preserve"> are:</w:t>
      </w:r>
    </w:p>
    <w:p w14:paraId="436D886E" w14:textId="14A4ECDA" w:rsidR="004F236F" w:rsidRDefault="0007217B" w:rsidP="002F47F6">
      <w:pPr>
        <w:pStyle w:val="ListParagraph"/>
        <w:numPr>
          <w:ilvl w:val="0"/>
          <w:numId w:val="28"/>
        </w:numPr>
        <w:spacing w:line="216" w:lineRule="auto"/>
      </w:pPr>
      <w:r>
        <w:t xml:space="preserve">There is great diversity across and within PICTs – </w:t>
      </w:r>
      <w:r w:rsidR="00BD7FDE">
        <w:t>EV</w:t>
      </w:r>
      <w:r w:rsidR="00D27F63">
        <w:t>s</w:t>
      </w:r>
      <w:r w:rsidR="00BD7FDE">
        <w:t xml:space="preserve"> will be a better “fit” with </w:t>
      </w:r>
      <w:r w:rsidR="004F236F">
        <w:t>some PICT markets than others</w:t>
      </w:r>
      <w:r w:rsidR="00FF34B7">
        <w:t xml:space="preserve"> and hence a careful balance will </w:t>
      </w:r>
      <w:proofErr w:type="gramStart"/>
      <w:r w:rsidR="00FF34B7">
        <w:t xml:space="preserve">be </w:t>
      </w:r>
      <w:r w:rsidR="00BD7FDE">
        <w:t>need</w:t>
      </w:r>
      <w:proofErr w:type="gramEnd"/>
      <w:r w:rsidR="00BD7FDE">
        <w:t xml:space="preserve"> to be struck between </w:t>
      </w:r>
      <w:r w:rsidR="00FF34B7">
        <w:t xml:space="preserve">developing regional programs and systems </w:t>
      </w:r>
      <w:r w:rsidR="00BD7FDE">
        <w:t>while allowing</w:t>
      </w:r>
      <w:r w:rsidR="00FF34B7">
        <w:t xml:space="preserve"> for variations </w:t>
      </w:r>
      <w:r w:rsidR="00BD7FDE">
        <w:t xml:space="preserve">amongst </w:t>
      </w:r>
      <w:r w:rsidR="00FF34B7">
        <w:t>programs in individual PICTs.</w:t>
      </w:r>
      <w:r w:rsidR="004F236F">
        <w:t xml:space="preserve"> </w:t>
      </w:r>
    </w:p>
    <w:p w14:paraId="5C17C72A" w14:textId="77777777" w:rsidR="004F236F" w:rsidRPr="0038098D" w:rsidRDefault="004F236F" w:rsidP="002F47F6">
      <w:pPr>
        <w:pStyle w:val="ListParagraph"/>
        <w:numPr>
          <w:ilvl w:val="0"/>
          <w:numId w:val="28"/>
        </w:numPr>
        <w:spacing w:line="216" w:lineRule="auto"/>
      </w:pPr>
      <w:r>
        <w:t>Apart from some smaller, low</w:t>
      </w:r>
      <w:r w:rsidR="00BD7FDE">
        <w:t>-</w:t>
      </w:r>
      <w:r>
        <w:t>voltage mobility options, EVs currently attract a premium price compared with their petroleum-fue</w:t>
      </w:r>
      <w:r w:rsidR="008747C6">
        <w:t>l</w:t>
      </w:r>
      <w:r>
        <w:t>led counterparts which</w:t>
      </w:r>
      <w:r w:rsidR="00BD7FDE">
        <w:t>, on the face of it,</w:t>
      </w:r>
      <w:r>
        <w:t xml:space="preserve"> </w:t>
      </w:r>
      <w:r w:rsidR="00BD7FDE">
        <w:t>makes purchasing an EV unattractive</w:t>
      </w:r>
      <w:r>
        <w:t>. Th</w:t>
      </w:r>
      <w:r w:rsidR="008747C6">
        <w:t>is</w:t>
      </w:r>
      <w:r w:rsidR="00BD7FDE">
        <w:t xml:space="preserve"> </w:t>
      </w:r>
      <w:r w:rsidR="008747C6">
        <w:t xml:space="preserve">upfront </w:t>
      </w:r>
      <w:r w:rsidR="00BD7FDE">
        <w:t>price disparity is expected to</w:t>
      </w:r>
      <w:r>
        <w:t xml:space="preserve"> </w:t>
      </w:r>
      <w:r w:rsidR="0007217B">
        <w:t xml:space="preserve">be resolved </w:t>
      </w:r>
      <w:r>
        <w:t xml:space="preserve">over </w:t>
      </w:r>
      <w:r w:rsidRPr="00DA515C">
        <w:t xml:space="preserve">time. </w:t>
      </w:r>
      <w:r w:rsidRPr="0038098D">
        <w:t xml:space="preserve">However, some EVs are already attractive when considered on a total cost of ownership </w:t>
      </w:r>
      <w:r w:rsidRPr="0038098D">
        <w:lastRenderedPageBreak/>
        <w:t xml:space="preserve">basis – where the costs to operate the vehicle are also taken into consideration and not just the purchase price – and the market </w:t>
      </w:r>
      <w:r w:rsidR="00BD7FDE" w:rsidRPr="0038098D">
        <w:t xml:space="preserve">needs </w:t>
      </w:r>
      <w:r w:rsidRPr="0038098D">
        <w:t xml:space="preserve">to be educated </w:t>
      </w:r>
      <w:r w:rsidR="00BD7FDE" w:rsidRPr="0038098D">
        <w:t>accordingly</w:t>
      </w:r>
      <w:r w:rsidRPr="0038098D">
        <w:t>.</w:t>
      </w:r>
    </w:p>
    <w:p w14:paraId="174082FB" w14:textId="77777777" w:rsidR="00FF34B7" w:rsidRPr="0038098D" w:rsidRDefault="004F236F" w:rsidP="002F47F6">
      <w:pPr>
        <w:pStyle w:val="ListParagraph"/>
        <w:numPr>
          <w:ilvl w:val="0"/>
          <w:numId w:val="28"/>
        </w:numPr>
        <w:spacing w:line="216" w:lineRule="auto"/>
      </w:pPr>
      <w:r w:rsidRPr="0038098D">
        <w:t xml:space="preserve">EVs are new to PICTs and there are many barriers with associated with this </w:t>
      </w:r>
      <w:r w:rsidR="003B5202" w:rsidRPr="0038098D">
        <w:t xml:space="preserve">“newness”” </w:t>
      </w:r>
      <w:r w:rsidRPr="0038098D">
        <w:t>including</w:t>
      </w:r>
      <w:r w:rsidR="00D61DA4" w:rsidRPr="0038098D">
        <w:t>:</w:t>
      </w:r>
    </w:p>
    <w:p w14:paraId="20EDA02A" w14:textId="77777777" w:rsidR="00FF34B7" w:rsidRPr="0038098D" w:rsidRDefault="00D61DA4" w:rsidP="002F47F6">
      <w:pPr>
        <w:pStyle w:val="ListParagraph"/>
        <w:numPr>
          <w:ilvl w:val="1"/>
          <w:numId w:val="28"/>
        </w:numPr>
        <w:spacing w:line="216" w:lineRule="auto"/>
      </w:pPr>
      <w:r w:rsidRPr="0038098D">
        <w:t>A lack of m</w:t>
      </w:r>
      <w:r w:rsidR="00FF34B7" w:rsidRPr="0038098D">
        <w:t xml:space="preserve">andate to drive EV </w:t>
      </w:r>
      <w:r w:rsidR="00BD7FDE" w:rsidRPr="0038098D">
        <w:t xml:space="preserve">policy </w:t>
      </w:r>
      <w:r w:rsidR="00FF34B7" w:rsidRPr="0038098D">
        <w:t>(some form of high-level policy directive</w:t>
      </w:r>
      <w:r w:rsidR="003B5202" w:rsidRPr="0038098D">
        <w:t xml:space="preserve"> is required as </w:t>
      </w:r>
      <w:r w:rsidR="00BD7FDE" w:rsidRPr="0038098D">
        <w:t>in the absence of public demand, there is</w:t>
      </w:r>
      <w:r w:rsidR="003B5202" w:rsidRPr="0038098D">
        <w:t xml:space="preserve"> no reason for government to support the EV work</w:t>
      </w:r>
      <w:r w:rsidR="00FF34B7" w:rsidRPr="0038098D">
        <w:t>);</w:t>
      </w:r>
    </w:p>
    <w:p w14:paraId="572641F3" w14:textId="77777777" w:rsidR="00D27F63" w:rsidRDefault="00D61DA4" w:rsidP="002F47F6">
      <w:pPr>
        <w:pStyle w:val="ListParagraph"/>
        <w:numPr>
          <w:ilvl w:val="1"/>
          <w:numId w:val="28"/>
        </w:numPr>
        <w:spacing w:line="216" w:lineRule="auto"/>
      </w:pPr>
      <w:r w:rsidRPr="0038098D">
        <w:t>A lack of s</w:t>
      </w:r>
      <w:r w:rsidR="00FF34B7" w:rsidRPr="0038098D">
        <w:t>upporting</w:t>
      </w:r>
      <w:r w:rsidR="004F236F" w:rsidRPr="0038098D">
        <w:t xml:space="preserve"> institutional and regulatory framework (for example, for some countries</w:t>
      </w:r>
      <w:r w:rsidR="00BD7FDE" w:rsidRPr="0038098D">
        <w:t>,</w:t>
      </w:r>
      <w:r w:rsidR="004F236F" w:rsidRPr="0038098D">
        <w:t xml:space="preserve"> EVs do not fall into any of the vehicle categories</w:t>
      </w:r>
      <w:r w:rsidR="00BD7FDE" w:rsidRPr="0038098D">
        <w:t>,</w:t>
      </w:r>
      <w:r w:rsidR="004F236F" w:rsidRPr="0038098D">
        <w:t xml:space="preserve"> making it difficult to register them. Also</w:t>
      </w:r>
      <w:r w:rsidR="0007217B" w:rsidRPr="0038098D">
        <w:t>,</w:t>
      </w:r>
      <w:r w:rsidR="004F236F" w:rsidRPr="0038098D">
        <w:t xml:space="preserve"> </w:t>
      </w:r>
      <w:r w:rsidR="00BD7FDE" w:rsidRPr="0038098D">
        <w:t>the absence</w:t>
      </w:r>
      <w:r w:rsidR="004F236F" w:rsidRPr="00FE396C">
        <w:t xml:space="preserve"> of standards </w:t>
      </w:r>
      <w:r w:rsidR="008747C6">
        <w:t xml:space="preserve">leaves </w:t>
      </w:r>
      <w:proofErr w:type="gramStart"/>
      <w:r w:rsidR="008747C6">
        <w:t>the a</w:t>
      </w:r>
      <w:proofErr w:type="gramEnd"/>
      <w:r w:rsidR="008747C6">
        <w:t xml:space="preserve"> potential for </w:t>
      </w:r>
      <w:r w:rsidR="004F236F" w:rsidRPr="00FE396C">
        <w:t xml:space="preserve">safety </w:t>
      </w:r>
      <w:r w:rsidR="00BD7FDE">
        <w:t xml:space="preserve">hazards </w:t>
      </w:r>
      <w:r w:rsidR="004F236F" w:rsidRPr="00FE396C">
        <w:t>and could result in the use of many different charging connectors</w:t>
      </w:r>
      <w:r w:rsidR="00BD7FDE">
        <w:t>,</w:t>
      </w:r>
      <w:r w:rsidR="0007217B">
        <w:t xml:space="preserve"> with the risk of </w:t>
      </w:r>
      <w:r w:rsidR="00FF34B7">
        <w:t xml:space="preserve">increased </w:t>
      </w:r>
      <w:r w:rsidR="004F236F" w:rsidRPr="00FE396C">
        <w:t>inconvenien</w:t>
      </w:r>
      <w:r w:rsidR="00BD7FDE">
        <w:t>ce</w:t>
      </w:r>
      <w:r w:rsidR="00FF34B7">
        <w:t xml:space="preserve"> and cost to users</w:t>
      </w:r>
      <w:r w:rsidR="004F236F" w:rsidRPr="00FE396C">
        <w:t>),</w:t>
      </w:r>
    </w:p>
    <w:p w14:paraId="71BCE72F" w14:textId="77777777" w:rsidR="00A7704F" w:rsidRDefault="00D61DA4" w:rsidP="002F47F6">
      <w:pPr>
        <w:pStyle w:val="ListParagraph"/>
        <w:numPr>
          <w:ilvl w:val="1"/>
          <w:numId w:val="28"/>
        </w:numPr>
        <w:spacing w:line="216" w:lineRule="auto"/>
      </w:pPr>
      <w:r>
        <w:t>A lack of c</w:t>
      </w:r>
      <w:r w:rsidR="004F236F" w:rsidRPr="00FE396C">
        <w:t>harging</w:t>
      </w:r>
      <w:r w:rsidR="004F236F">
        <w:t xml:space="preserve"> infrastructure</w:t>
      </w:r>
      <w:r w:rsidR="00FF34B7">
        <w:t>, and possibl</w:t>
      </w:r>
      <w:r w:rsidR="0035000B">
        <w:t>y</w:t>
      </w:r>
      <w:r w:rsidR="00FF34B7">
        <w:t xml:space="preserve"> </w:t>
      </w:r>
      <w:r w:rsidR="0035000B">
        <w:t>the</w:t>
      </w:r>
      <w:r w:rsidR="00FF34B7">
        <w:t xml:space="preserve"> lack of the types of generation </w:t>
      </w:r>
      <w:r w:rsidR="008747C6">
        <w:t xml:space="preserve">that are wanted to provide electricity to </w:t>
      </w:r>
      <w:r w:rsidR="0035000B">
        <w:t>it</w:t>
      </w:r>
      <w:r w:rsidR="00FF34B7">
        <w:t>;</w:t>
      </w:r>
    </w:p>
    <w:p w14:paraId="76FDE318" w14:textId="77777777" w:rsidR="00FF34B7" w:rsidRDefault="00D61DA4" w:rsidP="002F47F6">
      <w:pPr>
        <w:pStyle w:val="ListParagraph"/>
        <w:numPr>
          <w:ilvl w:val="1"/>
          <w:numId w:val="28"/>
        </w:numPr>
        <w:spacing w:line="216" w:lineRule="auto"/>
      </w:pPr>
      <w:r>
        <w:t>A lack of t</w:t>
      </w:r>
      <w:r w:rsidR="004F236F">
        <w:t>echnical support capability and capacity</w:t>
      </w:r>
      <w:r w:rsidR="00FF34B7">
        <w:t>; and</w:t>
      </w:r>
    </w:p>
    <w:p w14:paraId="04FDF4A7" w14:textId="77777777" w:rsidR="00D61DA4" w:rsidRDefault="0035000B" w:rsidP="002F47F6">
      <w:pPr>
        <w:pStyle w:val="ListParagraph"/>
        <w:numPr>
          <w:ilvl w:val="1"/>
          <w:numId w:val="28"/>
        </w:numPr>
        <w:spacing w:line="216" w:lineRule="auto"/>
      </w:pPr>
      <w:r>
        <w:t xml:space="preserve">Most fundamentally, a general </w:t>
      </w:r>
      <w:r w:rsidR="004F236F">
        <w:t xml:space="preserve">lack of awareness of EVs. </w:t>
      </w:r>
    </w:p>
    <w:p w14:paraId="1D9F518F" w14:textId="77777777" w:rsidR="004F236F" w:rsidRDefault="004F236F" w:rsidP="002F47F6">
      <w:pPr>
        <w:spacing w:line="216" w:lineRule="auto"/>
      </w:pPr>
      <w:r>
        <w:t>The</w:t>
      </w:r>
      <w:r w:rsidR="00B1615D">
        <w:t xml:space="preserve">se present barriers to the uptake of EVs that will </w:t>
      </w:r>
      <w:r>
        <w:t xml:space="preserve">take time to address. </w:t>
      </w:r>
      <w:r w:rsidR="0035000B">
        <w:t>Given that the market is likely to be slow to take up EVs due to the premium on their purchase price</w:t>
      </w:r>
      <w:r>
        <w:t xml:space="preserve">, the </w:t>
      </w:r>
      <w:r w:rsidR="00D61DA4">
        <w:t xml:space="preserve">various </w:t>
      </w:r>
      <w:r>
        <w:t xml:space="preserve">sectors involved </w:t>
      </w:r>
      <w:r w:rsidR="0035000B">
        <w:t>will have the benefit of</w:t>
      </w:r>
      <w:r w:rsidR="00D61DA4">
        <w:t xml:space="preserve"> a period in which they can coordinate and upskill </w:t>
      </w:r>
      <w:r>
        <w:t>so that the market is “EV</w:t>
      </w:r>
      <w:r w:rsidR="0035000B">
        <w:t>-</w:t>
      </w:r>
      <w:r>
        <w:t xml:space="preserve">ready” and primed for </w:t>
      </w:r>
      <w:r w:rsidR="0035000B">
        <w:t xml:space="preserve">the point where </w:t>
      </w:r>
      <w:r>
        <w:t xml:space="preserve">the </w:t>
      </w:r>
      <w:r w:rsidR="0035000B">
        <w:t xml:space="preserve">price premium has reduced and the </w:t>
      </w:r>
      <w:r>
        <w:t xml:space="preserve">use of EVs </w:t>
      </w:r>
      <w:r w:rsidR="0035000B">
        <w:t>has popular appeal</w:t>
      </w:r>
      <w:r>
        <w:t>.</w:t>
      </w:r>
    </w:p>
    <w:p w14:paraId="040898D8" w14:textId="77777777" w:rsidR="00CF3D6F" w:rsidRDefault="006222D0" w:rsidP="002F47F6">
      <w:pPr>
        <w:spacing w:line="216" w:lineRule="auto"/>
      </w:pPr>
      <w:r>
        <w:t xml:space="preserve">And there is also a strong case to not wait until the </w:t>
      </w:r>
      <w:r w:rsidR="0035000B">
        <w:t>price premium disappears</w:t>
      </w:r>
      <w:r>
        <w:t xml:space="preserve"> before introducing EVs: s</w:t>
      </w:r>
      <w:r w:rsidR="005B6464">
        <w:t>ome form of “EV readiness” transition period — awareness raising, the normalisation of EV technology, and the building-up of industry capability and capacity — is inevitable. W</w:t>
      </w:r>
      <w:r w:rsidR="00CF3D6F">
        <w:t>aiting to introduce EVs until it is financially attractive</w:t>
      </w:r>
      <w:r>
        <w:t xml:space="preserve"> will delay the start of this transition period, and also delay the </w:t>
      </w:r>
      <w:r w:rsidR="00CF3D6F">
        <w:t>“EV uptake S-curve”</w:t>
      </w:r>
      <w:r>
        <w:t xml:space="preserve">, </w:t>
      </w:r>
      <w:r w:rsidR="005B6464">
        <w:t>postpon</w:t>
      </w:r>
      <w:r>
        <w:t xml:space="preserve">ing </w:t>
      </w:r>
      <w:r w:rsidR="00CF3D6F">
        <w:t xml:space="preserve">the </w:t>
      </w:r>
      <w:r w:rsidR="0071405E">
        <w:t xml:space="preserve">time at which </w:t>
      </w:r>
      <w:r w:rsidR="00CF3D6F">
        <w:t xml:space="preserve">total economic benefits </w:t>
      </w:r>
      <w:r w:rsidR="005B6464">
        <w:t>realised from electrification</w:t>
      </w:r>
      <w:r>
        <w:rPr>
          <w:rStyle w:val="FootnoteReference"/>
        </w:rPr>
        <w:footnoteReference w:id="20"/>
      </w:r>
      <w:r w:rsidR="005B6464">
        <w:t xml:space="preserve"> </w:t>
      </w:r>
      <w:r w:rsidR="00CF3D6F">
        <w:t>become significant</w:t>
      </w:r>
      <w:r w:rsidR="0071405E">
        <w:t xml:space="preserve"> (i.e., a relatively small early investment should pay good dividends through bringing forward significant economic returns</w:t>
      </w:r>
      <w:r w:rsidR="0071405E">
        <w:rPr>
          <w:rStyle w:val="FootnoteReference"/>
        </w:rPr>
        <w:footnoteReference w:id="21"/>
      </w:r>
      <w:r w:rsidR="0071405E">
        <w:t>)</w:t>
      </w:r>
      <w:r w:rsidR="005C2BF6">
        <w:t>.</w:t>
      </w:r>
    </w:p>
    <w:p w14:paraId="58DC4B4B" w14:textId="681E9BC0" w:rsidR="001817CA" w:rsidRDefault="001817CA" w:rsidP="002F47F6">
      <w:pPr>
        <w:spacing w:line="216" w:lineRule="auto"/>
      </w:pPr>
      <w:r>
        <w:t>Lastly</w:t>
      </w:r>
      <w:r w:rsidR="00A94DCB">
        <w:t>, a business or action</w:t>
      </w:r>
      <w:r w:rsidR="005B6464">
        <w:t xml:space="preserve"> </w:t>
      </w:r>
      <w:r w:rsidR="00A94DCB">
        <w:t xml:space="preserve">plan will be needed </w:t>
      </w:r>
      <w:r w:rsidR="00B1615D">
        <w:t xml:space="preserve">in order </w:t>
      </w:r>
      <w:r w:rsidR="00A94DCB">
        <w:t xml:space="preserve">to coordinate and manage </w:t>
      </w:r>
      <w:r w:rsidR="005B6464">
        <w:t xml:space="preserve">the </w:t>
      </w:r>
      <w:r w:rsidR="00A94DCB">
        <w:t xml:space="preserve">deployment and </w:t>
      </w:r>
      <w:r w:rsidR="00B1615D">
        <w:t>ongoing operation</w:t>
      </w:r>
      <w:r w:rsidR="005B6464">
        <w:t xml:space="preserve"> of the policy </w:t>
      </w:r>
      <w:r w:rsidR="0054193B">
        <w:t>actions</w:t>
      </w:r>
      <w:r w:rsidR="005B6464">
        <w:t>.</w:t>
      </w:r>
      <w:r w:rsidR="00A94DCB">
        <w:t xml:space="preserve"> And following good management practice, that plan would need to be supported by appropriate monitoring and </w:t>
      </w:r>
      <w:proofErr w:type="gramStart"/>
      <w:r w:rsidR="00A94DCB">
        <w:t>evaluation, and</w:t>
      </w:r>
      <w:proofErr w:type="gramEnd"/>
      <w:r w:rsidR="00A94DCB">
        <w:t xml:space="preserve"> kept current and periodically tested for relevancy. </w:t>
      </w:r>
    </w:p>
    <w:p w14:paraId="003FC58E" w14:textId="77777777" w:rsidR="0019638F" w:rsidRPr="00181092" w:rsidRDefault="0019638F" w:rsidP="002F47F6">
      <w:pPr>
        <w:spacing w:line="216" w:lineRule="auto"/>
        <w:rPr>
          <w:sz w:val="2"/>
          <w:szCs w:val="2"/>
        </w:rPr>
      </w:pPr>
    </w:p>
    <w:p w14:paraId="16415843" w14:textId="794A0032" w:rsidR="00A850E7" w:rsidRPr="00D74409" w:rsidRDefault="00A94DCB" w:rsidP="00A94DCB">
      <w:pPr>
        <w:pStyle w:val="Heading1"/>
        <w:rPr>
          <w:rFonts w:asciiTheme="minorHAnsi" w:hAnsiTheme="minorHAnsi" w:cstheme="minorHAnsi"/>
          <w:b/>
          <w:color w:val="1F3864" w:themeColor="accent1" w:themeShade="80"/>
          <w:sz w:val="24"/>
        </w:rPr>
      </w:pPr>
      <w:bookmarkStart w:id="28" w:name="_Toc38034051"/>
      <w:r w:rsidRPr="00D74409">
        <w:rPr>
          <w:rFonts w:asciiTheme="minorHAnsi" w:hAnsiTheme="minorHAnsi" w:cstheme="minorHAnsi"/>
          <w:b/>
          <w:color w:val="1F3864" w:themeColor="accent1" w:themeShade="80"/>
          <w:sz w:val="24"/>
        </w:rPr>
        <w:t>I</w:t>
      </w:r>
      <w:r w:rsidR="00052A8A" w:rsidRPr="00D74409">
        <w:rPr>
          <w:rFonts w:asciiTheme="minorHAnsi" w:hAnsiTheme="minorHAnsi" w:cstheme="minorHAnsi"/>
          <w:b/>
          <w:color w:val="1F3864" w:themeColor="accent1" w:themeShade="80"/>
          <w:sz w:val="24"/>
        </w:rPr>
        <w:t xml:space="preserve">dentification of Policy </w:t>
      </w:r>
      <w:r w:rsidR="0054193B" w:rsidRPr="00D74409">
        <w:rPr>
          <w:rFonts w:asciiTheme="minorHAnsi" w:hAnsiTheme="minorHAnsi" w:cstheme="minorHAnsi"/>
          <w:b/>
          <w:color w:val="1F3864" w:themeColor="accent1" w:themeShade="80"/>
          <w:sz w:val="24"/>
        </w:rPr>
        <w:t>Actions</w:t>
      </w:r>
      <w:bookmarkEnd w:id="28"/>
      <w:r w:rsidR="00A850E7" w:rsidRPr="00D74409">
        <w:rPr>
          <w:rFonts w:asciiTheme="minorHAnsi" w:hAnsiTheme="minorHAnsi" w:cstheme="minorHAnsi"/>
          <w:b/>
          <w:color w:val="1F3864" w:themeColor="accent1" w:themeShade="80"/>
          <w:sz w:val="24"/>
        </w:rPr>
        <w:t xml:space="preserve">  </w:t>
      </w:r>
    </w:p>
    <w:p w14:paraId="321360FA" w14:textId="06E0597C" w:rsidR="004E2CC3" w:rsidRPr="002F47F6" w:rsidRDefault="004E2CC3" w:rsidP="00181092">
      <w:pPr>
        <w:spacing w:before="120" w:after="120" w:line="216" w:lineRule="auto"/>
      </w:pPr>
      <w:r w:rsidRPr="00D74409">
        <w:t>Section</w:t>
      </w:r>
      <w:r w:rsidR="00D74409">
        <w:t>s</w:t>
      </w:r>
      <w:r w:rsidRPr="00D74409">
        <w:t xml:space="preserve"> 4 </w:t>
      </w:r>
      <w:r w:rsidR="00D74409">
        <w:t xml:space="preserve">and 5 </w:t>
      </w:r>
      <w:r w:rsidR="005B6464" w:rsidRPr="00D74409">
        <w:t xml:space="preserve">set out the </w:t>
      </w:r>
      <w:r w:rsidRPr="00D74409">
        <w:t xml:space="preserve">context for the uptake of EVs in PICTs and </w:t>
      </w:r>
      <w:r w:rsidR="005B6464" w:rsidRPr="00D74409">
        <w:t>introduced</w:t>
      </w:r>
      <w:r w:rsidRPr="00D74409">
        <w:t xml:space="preserve"> the types of policy</w:t>
      </w:r>
      <w:r w:rsidR="00D74409">
        <w:t xml:space="preserve"> targets</w:t>
      </w:r>
      <w:r w:rsidRPr="00D74409">
        <w:t xml:space="preserve"> and policy </w:t>
      </w:r>
      <w:r w:rsidR="0054193B" w:rsidRPr="00D74409">
        <w:t>actions</w:t>
      </w:r>
      <w:r w:rsidRPr="00D74409">
        <w:t xml:space="preserve"> that are often used when deploying and promoting EVs. This section now develops and identifies </w:t>
      </w:r>
      <w:r w:rsidR="005B6464" w:rsidRPr="00D74409">
        <w:t xml:space="preserve">the </w:t>
      </w:r>
      <w:r w:rsidRPr="00D74409">
        <w:t xml:space="preserve">policy </w:t>
      </w:r>
      <w:r w:rsidR="0054193B" w:rsidRPr="00D74409">
        <w:t>actions</w:t>
      </w:r>
      <w:r w:rsidRPr="00D74409">
        <w:t xml:space="preserve"> that make </w:t>
      </w:r>
      <w:r w:rsidR="005B6464" w:rsidRPr="00D74409">
        <w:t xml:space="preserve">most </w:t>
      </w:r>
      <w:r w:rsidRPr="00D74409">
        <w:t>sense for PICTs.</w:t>
      </w:r>
    </w:p>
    <w:p w14:paraId="2C7C2FE9" w14:textId="77777777" w:rsidR="00185199" w:rsidRPr="002F47F6" w:rsidRDefault="000441F2" w:rsidP="00181092">
      <w:pPr>
        <w:spacing w:after="0" w:line="216" w:lineRule="auto"/>
      </w:pPr>
      <w:r w:rsidRPr="002F47F6">
        <w:t>T</w:t>
      </w:r>
      <w:r w:rsidR="00185199" w:rsidRPr="002F47F6">
        <w:t>wo processes were used for this:</w:t>
      </w:r>
    </w:p>
    <w:p w14:paraId="3346D65C" w14:textId="77777777" w:rsidR="00185199" w:rsidRPr="002F47F6" w:rsidRDefault="00CB4590" w:rsidP="00181092">
      <w:pPr>
        <w:pStyle w:val="ListParagraph"/>
        <w:numPr>
          <w:ilvl w:val="0"/>
          <w:numId w:val="7"/>
        </w:numPr>
        <w:spacing w:after="0" w:line="216" w:lineRule="auto"/>
      </w:pPr>
      <w:r w:rsidRPr="002F47F6">
        <w:t xml:space="preserve">Identifying the </w:t>
      </w:r>
      <w:r w:rsidR="000441F2" w:rsidRPr="002F47F6">
        <w:t xml:space="preserve">potential barriers </w:t>
      </w:r>
      <w:r w:rsidR="00185199" w:rsidRPr="002F47F6">
        <w:t xml:space="preserve">to progress through </w:t>
      </w:r>
      <w:r w:rsidR="00570071" w:rsidRPr="002F47F6">
        <w:t xml:space="preserve">“life” for an EV and </w:t>
      </w:r>
      <w:r w:rsidR="005B6464" w:rsidRPr="002F47F6">
        <w:t xml:space="preserve">the </w:t>
      </w:r>
      <w:r w:rsidR="00570071" w:rsidRPr="002F47F6">
        <w:t xml:space="preserve">charging infrastructure </w:t>
      </w:r>
      <w:r w:rsidR="005B6464" w:rsidRPr="002F47F6">
        <w:t xml:space="preserve">that supports them </w:t>
      </w:r>
      <w:r w:rsidR="00570071" w:rsidRPr="002F47F6">
        <w:t xml:space="preserve">(with the “life” broken down into </w:t>
      </w:r>
      <w:r w:rsidR="00D22C86" w:rsidRPr="002F47F6">
        <w:t>phase</w:t>
      </w:r>
      <w:r w:rsidR="00570071" w:rsidRPr="002F47F6">
        <w:t>s beginning with initial design</w:t>
      </w:r>
      <w:r w:rsidR="005B6464" w:rsidRPr="002F47F6">
        <w:t xml:space="preserve"> and progressing </w:t>
      </w:r>
      <w:r w:rsidR="00570071" w:rsidRPr="002F47F6">
        <w:t xml:space="preserve">through to </w:t>
      </w:r>
      <w:r w:rsidR="00185199" w:rsidRPr="002F47F6">
        <w:t>retirement</w:t>
      </w:r>
      <w:r w:rsidR="00570071" w:rsidRPr="002F47F6">
        <w:t>)</w:t>
      </w:r>
      <w:r w:rsidR="008C65D3" w:rsidRPr="002F47F6">
        <w:t>.</w:t>
      </w:r>
    </w:p>
    <w:p w14:paraId="3F9A63A9" w14:textId="77777777" w:rsidR="00570071" w:rsidRPr="002F47F6" w:rsidRDefault="00185199">
      <w:pPr>
        <w:pStyle w:val="ListParagraph"/>
        <w:numPr>
          <w:ilvl w:val="0"/>
          <w:numId w:val="7"/>
        </w:numPr>
        <w:spacing w:after="120" w:line="216" w:lineRule="auto"/>
      </w:pPr>
      <w:r w:rsidRPr="002F47F6">
        <w:t xml:space="preserve">A risk analysis to identify potential </w:t>
      </w:r>
      <w:r w:rsidR="00D22C86" w:rsidRPr="002F47F6">
        <w:t>“</w:t>
      </w:r>
      <w:r w:rsidRPr="002F47F6">
        <w:t>show-stoppers</w:t>
      </w:r>
      <w:r w:rsidR="00D22C86" w:rsidRPr="002F47F6">
        <w:t>”</w:t>
      </w:r>
      <w:r w:rsidRPr="002F47F6">
        <w:t xml:space="preserve"> or other </w:t>
      </w:r>
      <w:r w:rsidR="00D22C86" w:rsidRPr="002F47F6">
        <w:t xml:space="preserve">eventualities </w:t>
      </w:r>
      <w:r w:rsidRPr="002F47F6">
        <w:t xml:space="preserve">that </w:t>
      </w:r>
      <w:r w:rsidR="001E6CE0" w:rsidRPr="002F47F6">
        <w:t xml:space="preserve">could harm the </w:t>
      </w:r>
      <w:r w:rsidRPr="002F47F6">
        <w:t>industries involved</w:t>
      </w:r>
      <w:r w:rsidR="00570071" w:rsidRPr="002F47F6">
        <w:t xml:space="preserve"> or otherwise hinder progress through the </w:t>
      </w:r>
      <w:r w:rsidR="005B6464" w:rsidRPr="002F47F6">
        <w:t xml:space="preserve">lives of </w:t>
      </w:r>
      <w:r w:rsidR="00570071" w:rsidRPr="002F47F6">
        <w:t>EV</w:t>
      </w:r>
      <w:r w:rsidR="005B6464" w:rsidRPr="002F47F6">
        <w:t>s</w:t>
      </w:r>
      <w:r w:rsidR="00570071" w:rsidRPr="002F47F6">
        <w:t xml:space="preserve"> and supporting systems.</w:t>
      </w:r>
    </w:p>
    <w:p w14:paraId="20EE14E0" w14:textId="77777777" w:rsidR="00502ED6" w:rsidRPr="002F47F6" w:rsidRDefault="00185199" w:rsidP="00181092">
      <w:pPr>
        <w:spacing w:after="0" w:line="216" w:lineRule="auto"/>
      </w:pPr>
      <w:r w:rsidRPr="002F47F6">
        <w:t xml:space="preserve">For the first, </w:t>
      </w:r>
      <w:r w:rsidR="007A4827" w:rsidRPr="002F47F6">
        <w:t xml:space="preserve">the barriers associated with </w:t>
      </w:r>
      <w:r w:rsidR="00502ED6" w:rsidRPr="002F47F6">
        <w:t>“mainstream” electric vehicles (e.g., passenger cars), low-voltage e-mobility options, electric buses, trucks and marine vessels, and different charging and electricity supply connection options</w:t>
      </w:r>
      <w:r w:rsidR="007A4827" w:rsidRPr="002F47F6">
        <w:t>,</w:t>
      </w:r>
      <w:r w:rsidR="00502ED6" w:rsidRPr="002F47F6">
        <w:t xml:space="preserve"> were considered across the following “life stages”:</w:t>
      </w:r>
    </w:p>
    <w:p w14:paraId="68A39DFA" w14:textId="77777777" w:rsidR="009C3C91" w:rsidRPr="002F47F6" w:rsidRDefault="009C3C91" w:rsidP="00181092">
      <w:pPr>
        <w:pStyle w:val="ListParagraph"/>
        <w:numPr>
          <w:ilvl w:val="0"/>
          <w:numId w:val="2"/>
        </w:numPr>
        <w:spacing w:after="0" w:line="216" w:lineRule="auto"/>
      </w:pPr>
      <w:r w:rsidRPr="002F47F6">
        <w:t xml:space="preserve">Design (which may include design to standards </w:t>
      </w:r>
      <w:r w:rsidR="008C65D3" w:rsidRPr="002F47F6">
        <w:t>and/</w:t>
      </w:r>
      <w:r w:rsidRPr="002F47F6">
        <w:t>or to meet minimum performance)</w:t>
      </w:r>
      <w:r w:rsidR="005B6464" w:rsidRPr="002F47F6">
        <w:t>.</w:t>
      </w:r>
    </w:p>
    <w:p w14:paraId="67F08065" w14:textId="77777777" w:rsidR="009C3C91" w:rsidRPr="002F47F6" w:rsidRDefault="009C3C91" w:rsidP="00181092">
      <w:pPr>
        <w:pStyle w:val="ListParagraph"/>
        <w:numPr>
          <w:ilvl w:val="0"/>
          <w:numId w:val="2"/>
        </w:numPr>
        <w:spacing w:after="0" w:line="216" w:lineRule="auto"/>
      </w:pPr>
      <w:r w:rsidRPr="002F47F6">
        <w:lastRenderedPageBreak/>
        <w:t xml:space="preserve">Build </w:t>
      </w:r>
      <w:r w:rsidR="00F31B60" w:rsidRPr="002F47F6">
        <w:t xml:space="preserve">and supply </w:t>
      </w:r>
      <w:r w:rsidRPr="002F47F6">
        <w:t xml:space="preserve">(including </w:t>
      </w:r>
      <w:r w:rsidR="00934DA9" w:rsidRPr="002F47F6">
        <w:t xml:space="preserve">the </w:t>
      </w:r>
      <w:r w:rsidRPr="002F47F6">
        <w:t xml:space="preserve">ability to meet demand, </w:t>
      </w:r>
      <w:r w:rsidR="00651A60" w:rsidRPr="002F47F6">
        <w:t xml:space="preserve">customised production to meet local requirements, </w:t>
      </w:r>
      <w:r w:rsidR="00F31B60" w:rsidRPr="002F47F6">
        <w:t xml:space="preserve">certification, </w:t>
      </w:r>
      <w:r w:rsidRPr="002F47F6">
        <w:t>etc.)</w:t>
      </w:r>
      <w:r w:rsidR="008C65D3" w:rsidRPr="002F47F6">
        <w:t>.</w:t>
      </w:r>
    </w:p>
    <w:p w14:paraId="107A9735" w14:textId="77777777" w:rsidR="009C3C91" w:rsidRPr="002F47F6" w:rsidRDefault="009C3C91">
      <w:pPr>
        <w:pStyle w:val="ListParagraph"/>
        <w:numPr>
          <w:ilvl w:val="0"/>
          <w:numId w:val="2"/>
        </w:numPr>
        <w:spacing w:after="120" w:line="216" w:lineRule="auto"/>
      </w:pPr>
      <w:r w:rsidRPr="002F47F6">
        <w:t>Customer purchase</w:t>
      </w:r>
      <w:r w:rsidR="00651A60" w:rsidRPr="002F47F6">
        <w:t xml:space="preserve"> (</w:t>
      </w:r>
      <w:r w:rsidRPr="002F47F6">
        <w:t xml:space="preserve">which may include providing information and </w:t>
      </w:r>
      <w:r w:rsidR="00F31B60" w:rsidRPr="002F47F6">
        <w:t xml:space="preserve">promoting </w:t>
      </w:r>
      <w:r w:rsidRPr="002F47F6">
        <w:t xml:space="preserve">awareness </w:t>
      </w:r>
      <w:r w:rsidR="005B6464" w:rsidRPr="002F47F6">
        <w:t xml:space="preserve">to </w:t>
      </w:r>
      <w:r w:rsidR="00F31B60" w:rsidRPr="002F47F6">
        <w:t xml:space="preserve">support </w:t>
      </w:r>
      <w:r w:rsidRPr="002F47F6">
        <w:t>the purchase decision process</w:t>
      </w:r>
      <w:r w:rsidR="005B6464" w:rsidRPr="002F47F6">
        <w:t>, as well as</w:t>
      </w:r>
      <w:r w:rsidRPr="002F47F6">
        <w:t xml:space="preserve"> ensuring availability of fit-for-purpose product)</w:t>
      </w:r>
      <w:r w:rsidR="008C65D3" w:rsidRPr="002F47F6">
        <w:t>.</w:t>
      </w:r>
    </w:p>
    <w:p w14:paraId="4A07910A" w14:textId="77777777" w:rsidR="009C3C91" w:rsidRPr="002F47F6" w:rsidRDefault="009C3C91">
      <w:pPr>
        <w:pStyle w:val="ListParagraph"/>
        <w:numPr>
          <w:ilvl w:val="0"/>
          <w:numId w:val="2"/>
        </w:numPr>
        <w:spacing w:after="120" w:line="216" w:lineRule="auto"/>
      </w:pPr>
      <w:r w:rsidRPr="002F47F6">
        <w:t xml:space="preserve">Installation (which </w:t>
      </w:r>
      <w:r w:rsidR="00570071" w:rsidRPr="002F47F6">
        <w:t xml:space="preserve">for EVs </w:t>
      </w:r>
      <w:r w:rsidRPr="002F47F6">
        <w:t>may include insurance, warranty, service person</w:t>
      </w:r>
      <w:r w:rsidR="00F31B60" w:rsidRPr="002F47F6">
        <w:t>ne</w:t>
      </w:r>
      <w:r w:rsidRPr="002F47F6">
        <w:t>l capability</w:t>
      </w:r>
      <w:r w:rsidR="00570071" w:rsidRPr="002F47F6">
        <w:t xml:space="preserve"> and </w:t>
      </w:r>
      <w:r w:rsidRPr="002F47F6">
        <w:t>certification</w:t>
      </w:r>
      <w:r w:rsidR="00570071" w:rsidRPr="002F47F6">
        <w:t>, and for charging infrastructure may include site works, etc.</w:t>
      </w:r>
      <w:r w:rsidRPr="002F47F6">
        <w:t>)</w:t>
      </w:r>
      <w:r w:rsidR="008C65D3" w:rsidRPr="002F47F6">
        <w:t>.</w:t>
      </w:r>
    </w:p>
    <w:p w14:paraId="1F53FCBC" w14:textId="77777777" w:rsidR="009C3C91" w:rsidRPr="002F47F6" w:rsidRDefault="009C3C91">
      <w:pPr>
        <w:pStyle w:val="ListParagraph"/>
        <w:numPr>
          <w:ilvl w:val="0"/>
          <w:numId w:val="2"/>
        </w:numPr>
        <w:spacing w:after="120" w:line="216" w:lineRule="auto"/>
      </w:pPr>
      <w:r w:rsidRPr="002F47F6">
        <w:t>In-service use (which may includ</w:t>
      </w:r>
      <w:r w:rsidR="00934DA9" w:rsidRPr="002F47F6">
        <w:t>e</w:t>
      </w:r>
      <w:r w:rsidRPr="002F47F6">
        <w:t xml:space="preserve"> monitoring, charging in the case of electric vehicles, servi</w:t>
      </w:r>
      <w:r w:rsidR="00934DA9" w:rsidRPr="002F47F6">
        <w:t>c</w:t>
      </w:r>
      <w:r w:rsidRPr="002F47F6">
        <w:t>ing and maintenance, checks, breakdown and repair, and accident and repair)</w:t>
      </w:r>
      <w:r w:rsidR="008C65D3" w:rsidRPr="002F47F6">
        <w:t>.</w:t>
      </w:r>
    </w:p>
    <w:p w14:paraId="74137270" w14:textId="77777777" w:rsidR="009C3C91" w:rsidRPr="002F47F6" w:rsidRDefault="009C3C91">
      <w:pPr>
        <w:pStyle w:val="ListParagraph"/>
        <w:numPr>
          <w:ilvl w:val="0"/>
          <w:numId w:val="2"/>
        </w:numPr>
        <w:spacing w:after="120" w:line="216" w:lineRule="auto"/>
      </w:pPr>
      <w:r w:rsidRPr="002F47F6">
        <w:t>Retirement (which for electric vehicles would likely include re-purposing through to sc</w:t>
      </w:r>
      <w:r w:rsidR="00F31B60" w:rsidRPr="002F47F6">
        <w:t>r</w:t>
      </w:r>
      <w:r w:rsidRPr="002F47F6">
        <w:t>a</w:t>
      </w:r>
      <w:r w:rsidR="00F31B60" w:rsidRPr="002F47F6">
        <w:t>p</w:t>
      </w:r>
      <w:r w:rsidRPr="002F47F6">
        <w:t>ping of the propulsion battery</w:t>
      </w:r>
      <w:r w:rsidR="00F31B60" w:rsidRPr="002F47F6">
        <w:t>;</w:t>
      </w:r>
      <w:r w:rsidRPr="002F47F6">
        <w:t xml:space="preserve"> and</w:t>
      </w:r>
      <w:r w:rsidR="00F31B60" w:rsidRPr="002F47F6">
        <w:t xml:space="preserve">, </w:t>
      </w:r>
      <w:r w:rsidRPr="002F47F6">
        <w:t>for grid-related components, potential to upgrade, recycle or scrap)</w:t>
      </w:r>
      <w:r w:rsidR="008C65D3" w:rsidRPr="002F47F6">
        <w:t>.</w:t>
      </w:r>
    </w:p>
    <w:p w14:paraId="291A3118" w14:textId="77777777" w:rsidR="007A4827" w:rsidRPr="002F47F6" w:rsidRDefault="007A4827" w:rsidP="00181092">
      <w:pPr>
        <w:spacing w:after="0" w:line="216" w:lineRule="auto"/>
      </w:pPr>
      <w:r w:rsidRPr="002F47F6">
        <w:t>Appendices A to C provide the workings for this process, comprising:</w:t>
      </w:r>
    </w:p>
    <w:p w14:paraId="6CDA29AD" w14:textId="77777777" w:rsidR="003A3D3A" w:rsidRPr="002F47F6" w:rsidRDefault="007A4827" w:rsidP="00181092">
      <w:pPr>
        <w:pStyle w:val="ListParagraph"/>
        <w:numPr>
          <w:ilvl w:val="0"/>
          <w:numId w:val="33"/>
        </w:numPr>
        <w:spacing w:after="0" w:line="216" w:lineRule="auto"/>
      </w:pPr>
      <w:r w:rsidRPr="002F47F6">
        <w:t xml:space="preserve">Appendix A: </w:t>
      </w:r>
      <w:r w:rsidR="009C3C91" w:rsidRPr="002F47F6">
        <w:t>Tables</w:t>
      </w:r>
      <w:r w:rsidRPr="002F47F6">
        <w:t xml:space="preserve"> providing the</w:t>
      </w:r>
      <w:r w:rsidR="00934DA9" w:rsidRPr="002F47F6">
        <w:t xml:space="preserve"> </w:t>
      </w:r>
      <w:r w:rsidR="001E6CE0" w:rsidRPr="002F47F6">
        <w:t xml:space="preserve">detailed </w:t>
      </w:r>
      <w:r w:rsidR="00934DA9" w:rsidRPr="002F47F6">
        <w:t>results of th</w:t>
      </w:r>
      <w:r w:rsidRPr="002F47F6">
        <w:t>e</w:t>
      </w:r>
      <w:r w:rsidR="00934DA9" w:rsidRPr="002F47F6">
        <w:t xml:space="preserve"> </w:t>
      </w:r>
      <w:r w:rsidR="005C2BF6" w:rsidRPr="002F47F6">
        <w:t xml:space="preserve">described </w:t>
      </w:r>
      <w:r w:rsidR="001E6CE0" w:rsidRPr="002F47F6">
        <w:t>stage-of-life barrier analysis</w:t>
      </w:r>
      <w:r w:rsidR="003A3D3A" w:rsidRPr="002F47F6">
        <w:t>;</w:t>
      </w:r>
      <w:r w:rsidR="00F20C2B" w:rsidRPr="002F47F6">
        <w:t xml:space="preserve"> and</w:t>
      </w:r>
    </w:p>
    <w:p w14:paraId="087DC863" w14:textId="77777777" w:rsidR="003A3D3A" w:rsidRPr="002F47F6" w:rsidRDefault="003A3D3A" w:rsidP="00181092">
      <w:pPr>
        <w:pStyle w:val="ListParagraph"/>
        <w:numPr>
          <w:ilvl w:val="0"/>
          <w:numId w:val="33"/>
        </w:numPr>
        <w:spacing w:line="216" w:lineRule="auto"/>
      </w:pPr>
      <w:r w:rsidRPr="002F47F6">
        <w:t xml:space="preserve">Appendix </w:t>
      </w:r>
      <w:r w:rsidR="00152B39" w:rsidRPr="002F47F6">
        <w:t>B</w:t>
      </w:r>
      <w:r w:rsidRPr="002F47F6">
        <w:t xml:space="preserve">: Tables providing the </w:t>
      </w:r>
      <w:r w:rsidR="001E6CE0" w:rsidRPr="002F47F6">
        <w:t xml:space="preserve">detailed results of the risk and </w:t>
      </w:r>
      <w:r w:rsidRPr="002F47F6">
        <w:t xml:space="preserve">risk </w:t>
      </w:r>
      <w:r w:rsidR="001E6CE0" w:rsidRPr="002F47F6">
        <w:t>management</w:t>
      </w:r>
      <w:r w:rsidR="00BE38D3" w:rsidRPr="002F47F6">
        <w:t xml:space="preserve"> analysis</w:t>
      </w:r>
      <w:r w:rsidR="00F20C2B" w:rsidRPr="002F47F6">
        <w:t>.</w:t>
      </w:r>
    </w:p>
    <w:p w14:paraId="5C7D3F3A" w14:textId="53F61794" w:rsidR="005C2BF6" w:rsidRPr="002F47F6" w:rsidRDefault="00F20C2B" w:rsidP="00181092">
      <w:pPr>
        <w:spacing w:line="216" w:lineRule="auto"/>
      </w:pPr>
      <w:r w:rsidRPr="002F47F6">
        <w:t xml:space="preserve">These were then used to develop policy </w:t>
      </w:r>
      <w:r w:rsidR="0054193B">
        <w:t>actions</w:t>
      </w:r>
      <w:r w:rsidRPr="002F47F6">
        <w:t xml:space="preserve">, aimed at managing the identified barriers and risks. Appendix C provides the resulting list of 38 policy </w:t>
      </w:r>
      <w:r w:rsidR="0054193B">
        <w:t>actions</w:t>
      </w:r>
      <w:r w:rsidRPr="002F47F6">
        <w:t xml:space="preserve">, still divided into vehicle and charging-type categories. </w:t>
      </w:r>
    </w:p>
    <w:p w14:paraId="4BEF75ED" w14:textId="42C362F2" w:rsidR="00770AAC" w:rsidRPr="002F47F6" w:rsidRDefault="005C2BF6">
      <w:pPr>
        <w:spacing w:after="120" w:line="216" w:lineRule="auto"/>
      </w:pPr>
      <w:r w:rsidRPr="002F47F6">
        <w:t>F</w:t>
      </w:r>
      <w:r w:rsidR="00B56D39" w:rsidRPr="002F47F6">
        <w:t xml:space="preserve">ocusing on </w:t>
      </w:r>
      <w:r w:rsidR="00865CD0" w:rsidRPr="002F47F6">
        <w:t>th</w:t>
      </w:r>
      <w:r w:rsidR="0071405E" w:rsidRPr="002F47F6">
        <w:t>ose</w:t>
      </w:r>
      <w:r w:rsidR="00865CD0" w:rsidRPr="002F47F6">
        <w:t xml:space="preserve"> </w:t>
      </w:r>
      <w:r w:rsidR="003A3D3A" w:rsidRPr="002F47F6">
        <w:t xml:space="preserve">recommended </w:t>
      </w:r>
      <w:r w:rsidR="00384F21" w:rsidRPr="002F47F6">
        <w:t xml:space="preserve">policy </w:t>
      </w:r>
      <w:r w:rsidR="0054193B">
        <w:t>actions</w:t>
      </w:r>
      <w:r w:rsidR="00384F21" w:rsidRPr="002F47F6">
        <w:t xml:space="preserve"> </w:t>
      </w:r>
      <w:r w:rsidR="00865CD0" w:rsidRPr="002F47F6">
        <w:t xml:space="preserve">to which </w:t>
      </w:r>
      <w:r w:rsidR="00B56D39" w:rsidRPr="002F47F6">
        <w:t xml:space="preserve">electric vehicles are central (i.e., and not focusing on those such as </w:t>
      </w:r>
      <w:r w:rsidRPr="002F47F6">
        <w:t xml:space="preserve">the introduction of </w:t>
      </w:r>
      <w:r w:rsidR="00B56D39" w:rsidRPr="002F47F6">
        <w:t>TOU electricity pricing that are more likely to be driven by non-EV</w:t>
      </w:r>
      <w:r w:rsidR="00384F21" w:rsidRPr="002F47F6">
        <w:t>-</w:t>
      </w:r>
      <w:r w:rsidR="00B56D39" w:rsidRPr="002F47F6">
        <w:t xml:space="preserve">related </w:t>
      </w:r>
      <w:r w:rsidR="00384F21" w:rsidRPr="002F47F6">
        <w:t>initiatives</w:t>
      </w:r>
      <w:r w:rsidR="00B56D39" w:rsidRPr="002F47F6">
        <w:t xml:space="preserve">) and organising these </w:t>
      </w:r>
      <w:r w:rsidR="003A3D3A" w:rsidRPr="002F47F6">
        <w:t xml:space="preserve">into </w:t>
      </w:r>
      <w:r w:rsidR="00384F21" w:rsidRPr="002F47F6">
        <w:t>the themes “Standards and Guidelines”, “Awareness and Promotion”, and “Regional and Local Government Supported”</w:t>
      </w:r>
      <w:r w:rsidRPr="002F47F6">
        <w:t xml:space="preserve"> resulted in the matrix of policy </w:t>
      </w:r>
      <w:r w:rsidR="0054193B">
        <w:t>actions</w:t>
      </w:r>
      <w:r w:rsidRPr="002F47F6">
        <w:t xml:space="preserve"> provided in </w:t>
      </w:r>
      <w:r w:rsidR="00384F21" w:rsidRPr="002F47F6">
        <w:t xml:space="preserve">Table </w:t>
      </w:r>
      <w:r w:rsidR="003E23A6">
        <w:t>2</w:t>
      </w:r>
      <w:r w:rsidRPr="002F47F6">
        <w:t xml:space="preserve">. For this, </w:t>
      </w:r>
      <w:r w:rsidR="00770AAC" w:rsidRPr="002F47F6">
        <w:t>“A1” refers to Policy Action number 1, etc., as listed in (and provide</w:t>
      </w:r>
      <w:r w:rsidR="00D74409">
        <w:t>d</w:t>
      </w:r>
      <w:r w:rsidR="00770AAC" w:rsidRPr="002F47F6">
        <w:t xml:space="preserve"> with more detail in) Appendix C. </w:t>
      </w:r>
    </w:p>
    <w:p w14:paraId="3C8BE77B" w14:textId="5CB7AB9D" w:rsidR="00384F21" w:rsidRPr="002F47F6" w:rsidRDefault="00770AAC">
      <w:pPr>
        <w:spacing w:after="120" w:line="216" w:lineRule="auto"/>
      </w:pPr>
      <w:r w:rsidRPr="002F47F6">
        <w:t xml:space="preserve">Because of the structure of Table </w:t>
      </w:r>
      <w:r w:rsidR="003E23A6">
        <w:t>2</w:t>
      </w:r>
      <w:r w:rsidRPr="002F47F6">
        <w:t xml:space="preserve">, </w:t>
      </w:r>
      <w:r w:rsidR="003D2613" w:rsidRPr="002F47F6">
        <w:t xml:space="preserve">if this structure were placed in a regional office management scenario, each column </w:t>
      </w:r>
      <w:r w:rsidRPr="002F47F6">
        <w:t>represent</w:t>
      </w:r>
      <w:r w:rsidR="003D2613" w:rsidRPr="002F47F6">
        <w:t>s</w:t>
      </w:r>
      <w:r w:rsidRPr="002F47F6">
        <w:t xml:space="preserve"> a desk staffed by a person or persons with quite different skill sets. </w:t>
      </w:r>
    </w:p>
    <w:p w14:paraId="5E3C201D" w14:textId="482D50D8" w:rsidR="00384F21" w:rsidRDefault="002468A7" w:rsidP="002F47F6">
      <w:pPr>
        <w:spacing w:after="120" w:line="216" w:lineRule="auto"/>
        <w:ind w:left="-567" w:hanging="142"/>
        <w:rPr>
          <w:sz w:val="20"/>
          <w:szCs w:val="20"/>
        </w:rPr>
      </w:pPr>
      <w:r w:rsidRPr="002468A7">
        <w:rPr>
          <w:sz w:val="20"/>
          <w:szCs w:val="20"/>
        </w:rPr>
        <w:lastRenderedPageBreak/>
        <w:t xml:space="preserve"> </w:t>
      </w:r>
      <w:r w:rsidR="00D77ED1" w:rsidRPr="00D77ED1">
        <w:rPr>
          <w:sz w:val="20"/>
          <w:szCs w:val="20"/>
        </w:rPr>
        <w:t xml:space="preserve"> </w:t>
      </w:r>
      <w:r w:rsidR="00903CAB" w:rsidRPr="00903CAB">
        <w:rPr>
          <w:sz w:val="20"/>
          <w:szCs w:val="20"/>
        </w:rPr>
        <w:t xml:space="preserve"> </w:t>
      </w:r>
      <w:r w:rsidR="00E741BF" w:rsidRPr="00E741BF">
        <w:rPr>
          <w:noProof/>
          <w:lang w:val="pt-BR" w:eastAsia="pt-BR"/>
        </w:rPr>
        <w:drawing>
          <wp:inline distT="0" distB="0" distL="0" distR="0" wp14:anchorId="025F6E80" wp14:editId="7A992732">
            <wp:extent cx="6324600" cy="719418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1984" cy="7202579"/>
                    </a:xfrm>
                    <a:prstGeom prst="rect">
                      <a:avLst/>
                    </a:prstGeom>
                    <a:noFill/>
                    <a:ln>
                      <a:noFill/>
                    </a:ln>
                  </pic:spPr>
                </pic:pic>
              </a:graphicData>
            </a:graphic>
          </wp:inline>
        </w:drawing>
      </w:r>
    </w:p>
    <w:p w14:paraId="43A8EED9" w14:textId="77777777" w:rsidR="003D2613" w:rsidRDefault="003D2613" w:rsidP="003D2613">
      <w:pPr>
        <w:spacing w:after="120" w:line="216" w:lineRule="auto"/>
        <w:rPr>
          <w:sz w:val="20"/>
          <w:szCs w:val="20"/>
        </w:rPr>
      </w:pPr>
    </w:p>
    <w:p w14:paraId="42DFCD67" w14:textId="3B5CD073" w:rsidR="00BF6818" w:rsidRDefault="003D2613" w:rsidP="003D2613">
      <w:pPr>
        <w:spacing w:after="120" w:line="216" w:lineRule="auto"/>
      </w:pPr>
      <w:r w:rsidRPr="002F47F6">
        <w:t xml:space="preserve">As has been mentioned, there are large differences between PICTs and deploying this full set of policy </w:t>
      </w:r>
      <w:r w:rsidR="0054193B">
        <w:t>actions</w:t>
      </w:r>
      <w:r w:rsidRPr="002F47F6">
        <w:t xml:space="preserve"> may not be a good match for a </w:t>
      </w:r>
      <w:proofErr w:type="gramStart"/>
      <w:r w:rsidRPr="002F47F6">
        <w:t>particular PICT</w:t>
      </w:r>
      <w:proofErr w:type="gramEnd"/>
      <w:r w:rsidRPr="002F47F6">
        <w:t>. For example, for the next five years, in the absence of benefactors or other abnormal market forces, the deployment of electric buses is likely to only make sense for major cities such as Suva</w:t>
      </w:r>
      <w:r w:rsidR="00903CAB">
        <w:t xml:space="preserve">, </w:t>
      </w:r>
      <w:r w:rsidRPr="002F47F6">
        <w:t>Port Moresby</w:t>
      </w:r>
      <w:r w:rsidR="00903CAB">
        <w:t xml:space="preserve"> and </w:t>
      </w:r>
      <w:proofErr w:type="spellStart"/>
      <w:r w:rsidR="00903CAB">
        <w:t>Noumea</w:t>
      </w:r>
      <w:proofErr w:type="spellEnd"/>
      <w:r w:rsidRPr="002F47F6">
        <w:t xml:space="preserve">. However, the deployment of low-voltage systems would be expected to be applicable across all PICTs. This suggests a “pick-and-mix” approach of applying the recommended EV policy </w:t>
      </w:r>
      <w:r w:rsidR="0054193B">
        <w:t>actions</w:t>
      </w:r>
      <w:r w:rsidRPr="002F47F6">
        <w:t xml:space="preserve"> to any one PICT. For this, it is suggested that all PICTs adopt the bundle of policy </w:t>
      </w:r>
      <w:r w:rsidR="0054193B">
        <w:t>actions</w:t>
      </w:r>
      <w:r w:rsidRPr="002F47F6">
        <w:t xml:space="preserve"> A1 through A7 listed across the “Central Policy and Administration” row. The following table offers guidance criteria on the relevance of policy </w:t>
      </w:r>
      <w:r w:rsidR="0054193B">
        <w:t>actions</w:t>
      </w:r>
      <w:r w:rsidRPr="002F47F6">
        <w:t xml:space="preserve"> for a </w:t>
      </w:r>
      <w:proofErr w:type="gramStart"/>
      <w:r w:rsidRPr="002F47F6">
        <w:t>particular PICT</w:t>
      </w:r>
      <w:proofErr w:type="gramEnd"/>
      <w:r w:rsidRPr="002F47F6">
        <w:t>, for the others.</w:t>
      </w:r>
    </w:p>
    <w:p w14:paraId="1ED7C8B4" w14:textId="77777777" w:rsidR="003D2613" w:rsidRPr="002F47F6" w:rsidRDefault="003D2613" w:rsidP="002F47F6"/>
    <w:tbl>
      <w:tblPr>
        <w:tblStyle w:val="TableGrid"/>
        <w:tblW w:w="0" w:type="auto"/>
        <w:tblLook w:val="04A0" w:firstRow="1" w:lastRow="0" w:firstColumn="1" w:lastColumn="0" w:noHBand="0" w:noVBand="1"/>
      </w:tblPr>
      <w:tblGrid>
        <w:gridCol w:w="2122"/>
        <w:gridCol w:w="6894"/>
      </w:tblGrid>
      <w:tr w:rsidR="003D2613" w:rsidRPr="008F68B3" w14:paraId="70EACE50" w14:textId="77777777" w:rsidTr="000E17B4">
        <w:tc>
          <w:tcPr>
            <w:tcW w:w="2122" w:type="dxa"/>
            <w:shd w:val="clear" w:color="auto" w:fill="1F3864" w:themeFill="accent1" w:themeFillShade="80"/>
          </w:tcPr>
          <w:p w14:paraId="573B6486" w14:textId="72B598BA" w:rsidR="003D2613" w:rsidRPr="0008192D" w:rsidRDefault="003D2613" w:rsidP="000E17B4">
            <w:pPr>
              <w:spacing w:line="276" w:lineRule="auto"/>
              <w:jc w:val="center"/>
              <w:rPr>
                <w:b/>
                <w:bCs/>
                <w:sz w:val="20"/>
                <w:szCs w:val="20"/>
              </w:rPr>
            </w:pPr>
            <w:r>
              <w:rPr>
                <w:b/>
                <w:bCs/>
                <w:sz w:val="20"/>
                <w:szCs w:val="20"/>
              </w:rPr>
              <w:t xml:space="preserve">Vehicle Type that </w:t>
            </w:r>
            <w:r w:rsidRPr="0008192D">
              <w:rPr>
                <w:b/>
                <w:bCs/>
                <w:sz w:val="20"/>
                <w:szCs w:val="20"/>
              </w:rPr>
              <w:t xml:space="preserve">Policy </w:t>
            </w:r>
            <w:r w:rsidR="0054193B">
              <w:rPr>
                <w:b/>
                <w:bCs/>
                <w:sz w:val="20"/>
                <w:szCs w:val="20"/>
              </w:rPr>
              <w:t>Action</w:t>
            </w:r>
            <w:r>
              <w:rPr>
                <w:b/>
                <w:bCs/>
                <w:sz w:val="20"/>
                <w:szCs w:val="20"/>
              </w:rPr>
              <w:t xml:space="preserve"> is to be Applied</w:t>
            </w:r>
          </w:p>
        </w:tc>
        <w:tc>
          <w:tcPr>
            <w:tcW w:w="6894" w:type="dxa"/>
            <w:shd w:val="clear" w:color="auto" w:fill="1F3864" w:themeFill="accent1" w:themeFillShade="80"/>
          </w:tcPr>
          <w:p w14:paraId="1C8C5F4B" w14:textId="77777777" w:rsidR="003D2613" w:rsidRDefault="003D2613" w:rsidP="000E17B4">
            <w:pPr>
              <w:spacing w:line="276" w:lineRule="auto"/>
              <w:jc w:val="center"/>
              <w:rPr>
                <w:b/>
                <w:bCs/>
                <w:sz w:val="20"/>
                <w:szCs w:val="20"/>
              </w:rPr>
            </w:pPr>
          </w:p>
          <w:p w14:paraId="50308854" w14:textId="77777777" w:rsidR="003D2613" w:rsidRPr="0008192D" w:rsidRDefault="003D2613" w:rsidP="000E17B4">
            <w:pPr>
              <w:spacing w:line="276" w:lineRule="auto"/>
              <w:jc w:val="center"/>
              <w:rPr>
                <w:b/>
                <w:bCs/>
                <w:sz w:val="20"/>
                <w:szCs w:val="20"/>
              </w:rPr>
            </w:pPr>
            <w:r w:rsidRPr="0008192D">
              <w:rPr>
                <w:b/>
                <w:bCs/>
                <w:sz w:val="20"/>
                <w:szCs w:val="20"/>
              </w:rPr>
              <w:t>Relevancy</w:t>
            </w:r>
            <w:r>
              <w:rPr>
                <w:b/>
                <w:bCs/>
                <w:sz w:val="20"/>
                <w:szCs w:val="20"/>
              </w:rPr>
              <w:t xml:space="preserve"> When Looking at a 5-Year EV Plan</w:t>
            </w:r>
          </w:p>
        </w:tc>
      </w:tr>
      <w:tr w:rsidR="003D2613" w14:paraId="60D99248" w14:textId="77777777" w:rsidTr="000E17B4">
        <w:tc>
          <w:tcPr>
            <w:tcW w:w="2122" w:type="dxa"/>
            <w:shd w:val="clear" w:color="auto" w:fill="B4C6E7" w:themeFill="accent1" w:themeFillTint="66"/>
          </w:tcPr>
          <w:p w14:paraId="7AF9BE0F" w14:textId="77777777" w:rsidR="003D2613" w:rsidRDefault="003D2613" w:rsidP="000E17B4">
            <w:pPr>
              <w:spacing w:line="276" w:lineRule="auto"/>
              <w:rPr>
                <w:sz w:val="20"/>
                <w:szCs w:val="20"/>
              </w:rPr>
            </w:pPr>
            <w:r>
              <w:rPr>
                <w:sz w:val="20"/>
                <w:szCs w:val="20"/>
              </w:rPr>
              <w:t>Low-voltage mobility</w:t>
            </w:r>
          </w:p>
        </w:tc>
        <w:tc>
          <w:tcPr>
            <w:tcW w:w="6894" w:type="dxa"/>
            <w:shd w:val="clear" w:color="auto" w:fill="B4C6E7" w:themeFill="accent1" w:themeFillTint="66"/>
          </w:tcPr>
          <w:p w14:paraId="59FD2DF9" w14:textId="77777777" w:rsidR="003D2613" w:rsidRDefault="003D2613" w:rsidP="000E17B4">
            <w:pPr>
              <w:spacing w:line="276" w:lineRule="auto"/>
              <w:rPr>
                <w:sz w:val="20"/>
                <w:szCs w:val="20"/>
              </w:rPr>
            </w:pPr>
            <w:r>
              <w:rPr>
                <w:sz w:val="20"/>
                <w:szCs w:val="20"/>
              </w:rPr>
              <w:t>All PICTs.</w:t>
            </w:r>
          </w:p>
        </w:tc>
      </w:tr>
      <w:tr w:rsidR="003D2613" w14:paraId="0442D4A4" w14:textId="77777777" w:rsidTr="000E17B4">
        <w:tc>
          <w:tcPr>
            <w:tcW w:w="2122" w:type="dxa"/>
            <w:shd w:val="clear" w:color="auto" w:fill="D9E2F3" w:themeFill="accent1" w:themeFillTint="33"/>
          </w:tcPr>
          <w:p w14:paraId="15CDB26B" w14:textId="77777777" w:rsidR="003D2613" w:rsidRDefault="003D2613" w:rsidP="000E17B4">
            <w:pPr>
              <w:spacing w:line="276" w:lineRule="auto"/>
              <w:rPr>
                <w:sz w:val="20"/>
                <w:szCs w:val="20"/>
              </w:rPr>
            </w:pPr>
            <w:r>
              <w:rPr>
                <w:sz w:val="20"/>
                <w:szCs w:val="20"/>
              </w:rPr>
              <w:t>Light passenger EVs</w:t>
            </w:r>
          </w:p>
        </w:tc>
        <w:tc>
          <w:tcPr>
            <w:tcW w:w="6894" w:type="dxa"/>
            <w:shd w:val="clear" w:color="auto" w:fill="D9E2F3" w:themeFill="accent1" w:themeFillTint="33"/>
          </w:tcPr>
          <w:p w14:paraId="0F4279AE" w14:textId="77777777" w:rsidR="003D2613" w:rsidRDefault="003D2613" w:rsidP="000E17B4">
            <w:pPr>
              <w:spacing w:line="276" w:lineRule="auto"/>
              <w:rPr>
                <w:sz w:val="20"/>
                <w:szCs w:val="20"/>
              </w:rPr>
            </w:pPr>
            <w:r>
              <w:rPr>
                <w:sz w:val="20"/>
                <w:szCs w:val="20"/>
              </w:rPr>
              <w:t>PICTs with islands that have first-class roads.</w:t>
            </w:r>
          </w:p>
        </w:tc>
      </w:tr>
      <w:tr w:rsidR="003D2613" w14:paraId="4A70B98F" w14:textId="77777777" w:rsidTr="000E17B4">
        <w:tc>
          <w:tcPr>
            <w:tcW w:w="2122" w:type="dxa"/>
            <w:shd w:val="clear" w:color="auto" w:fill="B4C6E7" w:themeFill="accent1" w:themeFillTint="66"/>
          </w:tcPr>
          <w:p w14:paraId="12E4558C" w14:textId="77777777" w:rsidR="003D2613" w:rsidRDefault="003D2613" w:rsidP="000E17B4">
            <w:pPr>
              <w:spacing w:line="276" w:lineRule="auto"/>
              <w:rPr>
                <w:sz w:val="20"/>
                <w:szCs w:val="20"/>
              </w:rPr>
            </w:pPr>
            <w:r>
              <w:rPr>
                <w:sz w:val="20"/>
                <w:szCs w:val="20"/>
              </w:rPr>
              <w:t>Electric buses</w:t>
            </w:r>
          </w:p>
        </w:tc>
        <w:tc>
          <w:tcPr>
            <w:tcW w:w="6894" w:type="dxa"/>
            <w:shd w:val="clear" w:color="auto" w:fill="B4C6E7" w:themeFill="accent1" w:themeFillTint="66"/>
          </w:tcPr>
          <w:p w14:paraId="5CB297A7" w14:textId="77777777" w:rsidR="003D2613" w:rsidRDefault="003D2613" w:rsidP="000E17B4">
            <w:pPr>
              <w:spacing w:line="276" w:lineRule="auto"/>
              <w:rPr>
                <w:sz w:val="20"/>
                <w:szCs w:val="20"/>
              </w:rPr>
            </w:pPr>
            <w:r>
              <w:rPr>
                <w:sz w:val="20"/>
                <w:szCs w:val="20"/>
              </w:rPr>
              <w:t xml:space="preserve">PICTs with major cities, possibly Suva and Port Moresby only. </w:t>
            </w:r>
          </w:p>
        </w:tc>
      </w:tr>
      <w:tr w:rsidR="003D2613" w14:paraId="2B444FDE" w14:textId="77777777" w:rsidTr="000E17B4">
        <w:tc>
          <w:tcPr>
            <w:tcW w:w="2122" w:type="dxa"/>
            <w:shd w:val="clear" w:color="auto" w:fill="D9E2F3" w:themeFill="accent1" w:themeFillTint="33"/>
          </w:tcPr>
          <w:p w14:paraId="618B7F42" w14:textId="77777777" w:rsidR="003D2613" w:rsidRDefault="003D2613" w:rsidP="000E17B4">
            <w:pPr>
              <w:spacing w:line="276" w:lineRule="auto"/>
              <w:rPr>
                <w:sz w:val="20"/>
                <w:szCs w:val="20"/>
              </w:rPr>
            </w:pPr>
            <w:r>
              <w:rPr>
                <w:sz w:val="20"/>
                <w:szCs w:val="20"/>
              </w:rPr>
              <w:t>Electric trucks</w:t>
            </w:r>
          </w:p>
        </w:tc>
        <w:tc>
          <w:tcPr>
            <w:tcW w:w="6894" w:type="dxa"/>
            <w:shd w:val="clear" w:color="auto" w:fill="D9E2F3" w:themeFill="accent1" w:themeFillTint="33"/>
          </w:tcPr>
          <w:p w14:paraId="3F9DFECA" w14:textId="77777777" w:rsidR="003D2613" w:rsidRDefault="003D2613" w:rsidP="000E17B4">
            <w:pPr>
              <w:spacing w:line="276" w:lineRule="auto"/>
              <w:rPr>
                <w:sz w:val="20"/>
                <w:szCs w:val="20"/>
              </w:rPr>
            </w:pPr>
            <w:r>
              <w:rPr>
                <w:sz w:val="20"/>
                <w:szCs w:val="20"/>
              </w:rPr>
              <w:t>Leave to Regional EV Office to maintain watching brief, possibly with policy actions added as appropriate projects present themselves.</w:t>
            </w:r>
          </w:p>
        </w:tc>
      </w:tr>
      <w:tr w:rsidR="003D2613" w14:paraId="0B9D73EE" w14:textId="77777777" w:rsidTr="000E17B4">
        <w:tc>
          <w:tcPr>
            <w:tcW w:w="2122" w:type="dxa"/>
            <w:shd w:val="clear" w:color="auto" w:fill="B4C6E7" w:themeFill="accent1" w:themeFillTint="66"/>
          </w:tcPr>
          <w:p w14:paraId="76B8D23C" w14:textId="77777777" w:rsidR="003D2613" w:rsidRDefault="003D2613" w:rsidP="000E17B4">
            <w:pPr>
              <w:spacing w:line="276" w:lineRule="auto"/>
              <w:rPr>
                <w:sz w:val="20"/>
                <w:szCs w:val="20"/>
              </w:rPr>
            </w:pPr>
            <w:r>
              <w:rPr>
                <w:sz w:val="20"/>
                <w:szCs w:val="20"/>
              </w:rPr>
              <w:t>Electric marine vessels</w:t>
            </w:r>
          </w:p>
        </w:tc>
        <w:tc>
          <w:tcPr>
            <w:tcW w:w="6894" w:type="dxa"/>
            <w:shd w:val="clear" w:color="auto" w:fill="B4C6E7" w:themeFill="accent1" w:themeFillTint="66"/>
          </w:tcPr>
          <w:p w14:paraId="2B6638CA" w14:textId="77777777" w:rsidR="003D2613" w:rsidRDefault="003D2613" w:rsidP="000E17B4">
            <w:pPr>
              <w:spacing w:line="276" w:lineRule="auto"/>
              <w:rPr>
                <w:sz w:val="20"/>
                <w:szCs w:val="20"/>
              </w:rPr>
            </w:pPr>
            <w:r>
              <w:rPr>
                <w:sz w:val="20"/>
                <w:szCs w:val="20"/>
              </w:rPr>
              <w:t xml:space="preserve">PICTs with small fishing vessels operating in remote locations. Leave to Regional EV Office to maintain watching brief on other possibilities. </w:t>
            </w:r>
          </w:p>
        </w:tc>
      </w:tr>
    </w:tbl>
    <w:p w14:paraId="32751D12" w14:textId="2F16C48E" w:rsidR="003D2613" w:rsidRDefault="003D2613" w:rsidP="003D2613">
      <w:pPr>
        <w:spacing w:after="120" w:line="216" w:lineRule="auto"/>
        <w:jc w:val="center"/>
        <w:rPr>
          <w:b/>
          <w:bCs/>
          <w:sz w:val="20"/>
          <w:szCs w:val="20"/>
        </w:rPr>
      </w:pPr>
      <w:r w:rsidRPr="0008192D">
        <w:rPr>
          <w:b/>
          <w:bCs/>
          <w:sz w:val="20"/>
          <w:szCs w:val="20"/>
        </w:rPr>
        <w:t xml:space="preserve">Table </w:t>
      </w:r>
      <w:r w:rsidR="003E23A6">
        <w:rPr>
          <w:b/>
          <w:bCs/>
          <w:sz w:val="20"/>
          <w:szCs w:val="20"/>
        </w:rPr>
        <w:t>3</w:t>
      </w:r>
      <w:r w:rsidRPr="0008192D">
        <w:rPr>
          <w:b/>
          <w:bCs/>
          <w:sz w:val="20"/>
          <w:szCs w:val="20"/>
        </w:rPr>
        <w:t xml:space="preserve">: Guidance to the Relevancy of Proposed Policy </w:t>
      </w:r>
      <w:r w:rsidR="0054193B">
        <w:rPr>
          <w:b/>
          <w:bCs/>
          <w:sz w:val="20"/>
          <w:szCs w:val="20"/>
        </w:rPr>
        <w:t>Actions</w:t>
      </w:r>
      <w:r w:rsidRPr="0008192D">
        <w:rPr>
          <w:b/>
          <w:bCs/>
          <w:sz w:val="20"/>
          <w:szCs w:val="20"/>
        </w:rPr>
        <w:t xml:space="preserve"> to a Particular PICT</w:t>
      </w:r>
    </w:p>
    <w:p w14:paraId="51DBB0F7" w14:textId="0C211674" w:rsidR="00052A8A" w:rsidRDefault="00052A8A">
      <w:pPr>
        <w:pStyle w:val="Heading1"/>
        <w:rPr>
          <w:rFonts w:asciiTheme="minorHAnsi" w:hAnsiTheme="minorHAnsi" w:cstheme="minorHAnsi"/>
          <w:b/>
          <w:color w:val="1F3864" w:themeColor="accent1" w:themeShade="80"/>
          <w:sz w:val="24"/>
        </w:rPr>
      </w:pPr>
      <w:bookmarkStart w:id="29" w:name="_Toc38034052"/>
      <w:bookmarkStart w:id="30" w:name="_Toc38034053"/>
      <w:bookmarkStart w:id="31" w:name="_Toc36737331"/>
      <w:bookmarkStart w:id="32" w:name="_Toc33140140"/>
      <w:bookmarkStart w:id="33" w:name="_Toc36737332"/>
      <w:bookmarkStart w:id="34" w:name="_Toc36737333"/>
      <w:bookmarkStart w:id="35" w:name="_Toc33140142"/>
      <w:bookmarkStart w:id="36" w:name="_Toc33140143"/>
      <w:bookmarkStart w:id="37" w:name="_Toc33140144"/>
      <w:bookmarkStart w:id="38" w:name="_Toc38034054"/>
      <w:bookmarkEnd w:id="29"/>
      <w:bookmarkEnd w:id="30"/>
      <w:bookmarkEnd w:id="31"/>
      <w:bookmarkEnd w:id="32"/>
      <w:bookmarkEnd w:id="33"/>
      <w:bookmarkEnd w:id="34"/>
      <w:bookmarkEnd w:id="35"/>
      <w:bookmarkEnd w:id="36"/>
      <w:bookmarkEnd w:id="37"/>
      <w:r w:rsidRPr="000C13D7">
        <w:rPr>
          <w:rFonts w:asciiTheme="minorHAnsi" w:hAnsiTheme="minorHAnsi" w:cstheme="minorHAnsi"/>
          <w:b/>
          <w:color w:val="1F3864" w:themeColor="accent1" w:themeShade="80"/>
          <w:sz w:val="24"/>
        </w:rPr>
        <w:t>Conclusions</w:t>
      </w:r>
      <w:bookmarkEnd w:id="38"/>
    </w:p>
    <w:p w14:paraId="6C67223A" w14:textId="77777777" w:rsidR="002711D7" w:rsidRPr="00181092" w:rsidRDefault="002711D7" w:rsidP="00181092">
      <w:pPr>
        <w:rPr>
          <w:sz w:val="2"/>
          <w:szCs w:val="2"/>
        </w:rPr>
      </w:pPr>
    </w:p>
    <w:p w14:paraId="7420D5E2" w14:textId="59397FE9" w:rsidR="009B73A4" w:rsidRPr="002F47F6" w:rsidRDefault="009B73A4">
      <w:pPr>
        <w:spacing w:after="120" w:line="216" w:lineRule="auto"/>
      </w:pPr>
      <w:r w:rsidRPr="0057781A">
        <w:t>Th</w:t>
      </w:r>
      <w:r w:rsidR="00F90573">
        <w:t xml:space="preserve">e recommended </w:t>
      </w:r>
      <w:r w:rsidR="0057781A">
        <w:t xml:space="preserve">policy </w:t>
      </w:r>
      <w:r w:rsidR="003E23A6">
        <w:t xml:space="preserve">targets and policy actions </w:t>
      </w:r>
      <w:r w:rsidR="0057781A">
        <w:t>dr</w:t>
      </w:r>
      <w:r w:rsidR="0019638F">
        <w:t>e</w:t>
      </w:r>
      <w:r w:rsidR="0057781A">
        <w:t xml:space="preserve">w </w:t>
      </w:r>
      <w:r w:rsidRPr="0057781A">
        <w:t xml:space="preserve">from the findings </w:t>
      </w:r>
      <w:r w:rsidR="00865CD0" w:rsidRPr="0057781A">
        <w:t xml:space="preserve">of </w:t>
      </w:r>
      <w:r w:rsidR="0057781A">
        <w:t xml:space="preserve">the technical report on EV options for PICTs </w:t>
      </w:r>
      <w:r w:rsidRPr="0057781A">
        <w:t xml:space="preserve">(which found that there are many opportunities where PICTs and individuals stand to benefit from the introduction and use of EVs) to consider what policy and policy </w:t>
      </w:r>
      <w:r w:rsidR="0054193B">
        <w:t>actions</w:t>
      </w:r>
      <w:r w:rsidRPr="0057781A">
        <w:t xml:space="preserve"> would best prepare PICTs for their respective EV futures. This work found:</w:t>
      </w:r>
    </w:p>
    <w:p w14:paraId="2ABA3D5B" w14:textId="57F189C2" w:rsidR="00ED0F29" w:rsidRPr="002F47F6" w:rsidRDefault="00ED0F29" w:rsidP="00ED0F29">
      <w:pPr>
        <w:pStyle w:val="ListParagraph"/>
        <w:numPr>
          <w:ilvl w:val="0"/>
          <w:numId w:val="9"/>
        </w:numPr>
        <w:spacing w:after="120" w:line="216" w:lineRule="auto"/>
      </w:pPr>
      <w:r w:rsidRPr="002F47F6">
        <w:t xml:space="preserve">Overall, apart from </w:t>
      </w:r>
      <w:r w:rsidR="0054193B">
        <w:t>action</w:t>
      </w:r>
      <w:r w:rsidRPr="002F47F6">
        <w:t xml:space="preserve"> in Fiji supported by GGGI, there seems to be little in the way of planning, policy work or policy </w:t>
      </w:r>
      <w:r w:rsidR="0054193B">
        <w:t>actions</w:t>
      </w:r>
      <w:r w:rsidRPr="002F47F6">
        <w:t xml:space="preserve"> in place for EVs across the PICTs, providing some</w:t>
      </w:r>
      <w:r w:rsidR="00865CD0" w:rsidRPr="002F47F6">
        <w:t>thing</w:t>
      </w:r>
      <w:r w:rsidRPr="002F47F6">
        <w:t xml:space="preserve"> of a blank canvas </w:t>
      </w:r>
      <w:r w:rsidR="00865CD0" w:rsidRPr="002F47F6">
        <w:t xml:space="preserve">upon which </w:t>
      </w:r>
      <w:r w:rsidRPr="002F47F6">
        <w:t>EV policy recommendations</w:t>
      </w:r>
      <w:r w:rsidR="00865CD0" w:rsidRPr="002F47F6">
        <w:t xml:space="preserve"> may be drawn</w:t>
      </w:r>
      <w:r w:rsidRPr="002F47F6">
        <w:t>.</w:t>
      </w:r>
    </w:p>
    <w:p w14:paraId="45D0A872" w14:textId="77777777" w:rsidR="00ED0F29" w:rsidRPr="002F47F6" w:rsidRDefault="00ED0F29" w:rsidP="00ED0F29">
      <w:pPr>
        <w:pStyle w:val="ListParagraph"/>
        <w:numPr>
          <w:ilvl w:val="0"/>
          <w:numId w:val="9"/>
        </w:numPr>
        <w:spacing w:after="120" w:line="216" w:lineRule="auto"/>
      </w:pPr>
      <w:r w:rsidRPr="002F47F6">
        <w:t xml:space="preserve">There is the potential for conflict between the uptake of EVs and some specific NDC targets for a very small number of PICTs. However, the uptake of EVs would be expected to reduce emissions overall, meeting </w:t>
      </w:r>
      <w:r w:rsidR="003D2613" w:rsidRPr="002F47F6">
        <w:t xml:space="preserve">each PICT’s </w:t>
      </w:r>
      <w:r w:rsidRPr="002F47F6">
        <w:t xml:space="preserve">high-level goal of emissions reduction.   </w:t>
      </w:r>
    </w:p>
    <w:p w14:paraId="70DAF5D4" w14:textId="77777777" w:rsidR="00ED0F29" w:rsidRPr="002F47F6" w:rsidRDefault="00865CD0" w:rsidP="00ED0F29">
      <w:pPr>
        <w:pStyle w:val="ListParagraph"/>
        <w:numPr>
          <w:ilvl w:val="0"/>
          <w:numId w:val="9"/>
        </w:numPr>
        <w:spacing w:after="120" w:line="216" w:lineRule="auto"/>
      </w:pPr>
      <w:r w:rsidRPr="002F47F6">
        <w:t xml:space="preserve">Policy in </w:t>
      </w:r>
      <w:r w:rsidR="00ED0F29" w:rsidRPr="002F47F6">
        <w:t xml:space="preserve">PICTs is subject to several strategies and frameworks that target coordinated approaches, among others. None </w:t>
      </w:r>
      <w:r w:rsidRPr="002F47F6">
        <w:t xml:space="preserve">of these </w:t>
      </w:r>
      <w:r w:rsidR="00ED0F29" w:rsidRPr="002F47F6">
        <w:t xml:space="preserve">presented barriers to EV uptake. </w:t>
      </w:r>
      <w:r w:rsidRPr="002F47F6">
        <w:t>Rather, they</w:t>
      </w:r>
      <w:r w:rsidR="00ED0F29" w:rsidRPr="002F47F6">
        <w:t xml:space="preserve"> provide guidance </w:t>
      </w:r>
      <w:r w:rsidRPr="002F47F6">
        <w:t xml:space="preserve">on </w:t>
      </w:r>
      <w:r w:rsidR="00ED0F29" w:rsidRPr="002F47F6">
        <w:t>how a regional EV programme could be structured.</w:t>
      </w:r>
    </w:p>
    <w:p w14:paraId="2F4183E1" w14:textId="62F7817A" w:rsidR="003E23A6" w:rsidRPr="00352D9F" w:rsidRDefault="003E23A6" w:rsidP="00194394">
      <w:pPr>
        <w:pStyle w:val="ListParagraph"/>
        <w:numPr>
          <w:ilvl w:val="0"/>
          <w:numId w:val="9"/>
        </w:numPr>
        <w:spacing w:after="0" w:line="216" w:lineRule="auto"/>
      </w:pPr>
      <w:r>
        <w:t xml:space="preserve">Six </w:t>
      </w:r>
      <w:r w:rsidRPr="00352D9F">
        <w:t>policy targets to support the uptake of EVs were identified. These were:</w:t>
      </w:r>
    </w:p>
    <w:p w14:paraId="5B5FF630" w14:textId="59B3F4DF" w:rsidR="003E23A6" w:rsidRPr="00194394" w:rsidRDefault="003E23A6" w:rsidP="00194394">
      <w:pPr>
        <w:spacing w:after="0" w:line="216" w:lineRule="auto"/>
        <w:ind w:left="1080"/>
      </w:pPr>
      <w:r w:rsidRPr="00352D9F">
        <w:t>For 2030:</w:t>
      </w:r>
    </w:p>
    <w:p w14:paraId="50F65909" w14:textId="79F0FA9D" w:rsidR="003E23A6" w:rsidRPr="00194394" w:rsidRDefault="003E23A6" w:rsidP="00194394">
      <w:pPr>
        <w:pStyle w:val="ListParagraph"/>
        <w:numPr>
          <w:ilvl w:val="1"/>
          <w:numId w:val="9"/>
        </w:numPr>
        <w:spacing w:after="0" w:line="216" w:lineRule="auto"/>
      </w:pPr>
      <w:r w:rsidRPr="00194394">
        <w:t xml:space="preserve">Ten different models of </w:t>
      </w:r>
      <w:proofErr w:type="gramStart"/>
      <w:r w:rsidRPr="00194394">
        <w:t>manufacturer-supported</w:t>
      </w:r>
      <w:proofErr w:type="gramEnd"/>
      <w:r w:rsidRPr="00194394">
        <w:t>, mainstream EVs are available in the marketplace</w:t>
      </w:r>
      <w:r>
        <w:t>;</w:t>
      </w:r>
      <w:r w:rsidRPr="00194394">
        <w:t xml:space="preserve"> </w:t>
      </w:r>
    </w:p>
    <w:p w14:paraId="31402550" w14:textId="0E25E230" w:rsidR="003E23A6" w:rsidRPr="00194394" w:rsidRDefault="003E23A6" w:rsidP="00194394">
      <w:pPr>
        <w:pStyle w:val="ListParagraph"/>
        <w:numPr>
          <w:ilvl w:val="1"/>
          <w:numId w:val="9"/>
        </w:numPr>
        <w:spacing w:after="0" w:line="216" w:lineRule="auto"/>
      </w:pPr>
      <w:r w:rsidRPr="00194394">
        <w:t>Battery swapping for low-voltage mobility use is available on a commercial scale in the marketplace</w:t>
      </w:r>
      <w:r>
        <w:t>;</w:t>
      </w:r>
      <w:r w:rsidRPr="00194394">
        <w:t xml:space="preserve"> </w:t>
      </w:r>
    </w:p>
    <w:p w14:paraId="00288112" w14:textId="19C2A730" w:rsidR="003E23A6" w:rsidRPr="00194394" w:rsidRDefault="003E23A6" w:rsidP="00194394">
      <w:pPr>
        <w:pStyle w:val="ListParagraph"/>
        <w:numPr>
          <w:ilvl w:val="1"/>
          <w:numId w:val="9"/>
        </w:numPr>
        <w:spacing w:after="0" w:line="216" w:lineRule="auto"/>
      </w:pPr>
      <w:r w:rsidRPr="00194394">
        <w:t>There is good public awareness of EVs</w:t>
      </w:r>
      <w:r>
        <w:t>;</w:t>
      </w:r>
      <w:r w:rsidRPr="00194394">
        <w:t xml:space="preserve"> </w:t>
      </w:r>
    </w:p>
    <w:p w14:paraId="7365B1FA" w14:textId="2CEC3FA5" w:rsidR="003E23A6" w:rsidRPr="00194394" w:rsidRDefault="003E23A6" w:rsidP="00194394">
      <w:pPr>
        <w:pStyle w:val="ListParagraph"/>
        <w:numPr>
          <w:ilvl w:val="1"/>
          <w:numId w:val="9"/>
        </w:numPr>
        <w:spacing w:after="0" w:line="216" w:lineRule="auto"/>
      </w:pPr>
      <w:r w:rsidRPr="00194394">
        <w:t>50% of all mainstream EVs are charged through devices that are managed-charging enabled.</w:t>
      </w:r>
    </w:p>
    <w:p w14:paraId="7E5267F1" w14:textId="05185EEF" w:rsidR="003E23A6" w:rsidRPr="00352D9F" w:rsidRDefault="003E23A6" w:rsidP="00194394">
      <w:pPr>
        <w:spacing w:after="0" w:line="216" w:lineRule="auto"/>
        <w:ind w:left="1080"/>
      </w:pPr>
      <w:r w:rsidRPr="00352D9F">
        <w:t>For 2050:</w:t>
      </w:r>
    </w:p>
    <w:p w14:paraId="12FEB29F" w14:textId="5EB77C8E" w:rsidR="003E23A6" w:rsidRPr="00194394" w:rsidRDefault="003E23A6" w:rsidP="00194394">
      <w:pPr>
        <w:pStyle w:val="ListParagraph"/>
        <w:numPr>
          <w:ilvl w:val="1"/>
          <w:numId w:val="9"/>
        </w:numPr>
        <w:spacing w:after="0" w:line="216" w:lineRule="auto"/>
      </w:pPr>
      <w:r w:rsidRPr="00194394">
        <w:t xml:space="preserve">Services provided by EVs are an integral and significant component of transport within the region and include single-person electrically assisted mobility options through to electric trucks, buses and boats; </w:t>
      </w:r>
    </w:p>
    <w:p w14:paraId="4D4BC4C8" w14:textId="262BD5C1" w:rsidR="003E23A6" w:rsidRPr="00194394" w:rsidRDefault="003E23A6" w:rsidP="00194394">
      <w:pPr>
        <w:pStyle w:val="ListParagraph"/>
        <w:numPr>
          <w:ilvl w:val="1"/>
          <w:numId w:val="9"/>
        </w:numPr>
        <w:spacing w:after="0" w:line="216" w:lineRule="auto"/>
      </w:pPr>
      <w:r w:rsidRPr="00194394">
        <w:t>90% of grid-supplied charging of mainstream EVs is provided through managed-charging systems.</w:t>
      </w:r>
    </w:p>
    <w:p w14:paraId="1B15ACBF" w14:textId="683EA972" w:rsidR="0057072D" w:rsidRPr="002F47F6" w:rsidRDefault="0057072D" w:rsidP="00ED0F29">
      <w:pPr>
        <w:pStyle w:val="ListParagraph"/>
        <w:numPr>
          <w:ilvl w:val="0"/>
          <w:numId w:val="9"/>
        </w:numPr>
        <w:spacing w:after="120" w:line="216" w:lineRule="auto"/>
      </w:pPr>
      <w:r w:rsidRPr="002F47F6">
        <w:t xml:space="preserve">38 policy </w:t>
      </w:r>
      <w:r w:rsidR="0054193B">
        <w:t>actions</w:t>
      </w:r>
      <w:r w:rsidRPr="002F47F6">
        <w:t xml:space="preserve"> to support the uptake of EVs were identified. Those that were central to developing an EV culture across PICTs included:</w:t>
      </w:r>
    </w:p>
    <w:p w14:paraId="2990D010" w14:textId="46F76FAD" w:rsidR="0057072D" w:rsidRPr="002F47F6" w:rsidRDefault="0057072D" w:rsidP="0057072D">
      <w:pPr>
        <w:pStyle w:val="ListParagraph"/>
        <w:numPr>
          <w:ilvl w:val="1"/>
          <w:numId w:val="9"/>
        </w:numPr>
        <w:spacing w:after="120" w:line="216" w:lineRule="auto"/>
      </w:pPr>
      <w:r w:rsidRPr="002F47F6">
        <w:t xml:space="preserve">Putting </w:t>
      </w:r>
      <w:r w:rsidR="00865CD0" w:rsidRPr="002F47F6">
        <w:t xml:space="preserve">in place </w:t>
      </w:r>
      <w:r w:rsidR="003E23A6">
        <w:t xml:space="preserve">high-level targets and </w:t>
      </w:r>
      <w:r w:rsidRPr="002F47F6">
        <w:t>mandates</w:t>
      </w:r>
      <w:r w:rsidR="003E23A6" w:rsidRPr="003E23A6">
        <w:t xml:space="preserve"> </w:t>
      </w:r>
      <w:r w:rsidR="00876EE8">
        <w:t xml:space="preserve">concerning </w:t>
      </w:r>
      <w:r w:rsidR="003E23A6" w:rsidRPr="002F47F6">
        <w:t>EV</w:t>
      </w:r>
      <w:r w:rsidR="00876EE8">
        <w:t xml:space="preserve"> uptake</w:t>
      </w:r>
      <w:r w:rsidRPr="002F47F6">
        <w:t>;</w:t>
      </w:r>
    </w:p>
    <w:p w14:paraId="338AC3E4" w14:textId="77777777" w:rsidR="0057072D" w:rsidRPr="002F47F6" w:rsidRDefault="0057072D" w:rsidP="0057072D">
      <w:pPr>
        <w:pStyle w:val="ListParagraph"/>
        <w:numPr>
          <w:ilvl w:val="1"/>
          <w:numId w:val="9"/>
        </w:numPr>
        <w:spacing w:after="120" w:line="216" w:lineRule="auto"/>
      </w:pPr>
      <w:r w:rsidRPr="002F47F6">
        <w:t>Forming a regional EV hub with regional representatives providing the conduit between local and regional programs;</w:t>
      </w:r>
    </w:p>
    <w:p w14:paraId="6D89BFA4" w14:textId="77777777" w:rsidR="0057072D" w:rsidRPr="002F47F6" w:rsidRDefault="0057072D" w:rsidP="0057072D">
      <w:pPr>
        <w:pStyle w:val="ListParagraph"/>
        <w:numPr>
          <w:ilvl w:val="1"/>
          <w:numId w:val="9"/>
        </w:numPr>
        <w:spacing w:after="120" w:line="216" w:lineRule="auto"/>
      </w:pPr>
      <w:r w:rsidRPr="002F47F6">
        <w:t>Developing EV roadmaps for PICTs;</w:t>
      </w:r>
    </w:p>
    <w:p w14:paraId="7E232441" w14:textId="77777777" w:rsidR="00876EE8" w:rsidRDefault="00876EE8" w:rsidP="0057072D">
      <w:pPr>
        <w:pStyle w:val="ListParagraph"/>
        <w:numPr>
          <w:ilvl w:val="1"/>
          <w:numId w:val="9"/>
        </w:numPr>
        <w:spacing w:after="120" w:line="216" w:lineRule="auto"/>
      </w:pPr>
      <w:r w:rsidRPr="00876EE8">
        <w:t>As appropriate, set tax levels to encourage import of desired goods</w:t>
      </w:r>
      <w:r>
        <w:t>;</w:t>
      </w:r>
    </w:p>
    <w:p w14:paraId="5889F129" w14:textId="124F0FF0" w:rsidR="0057072D" w:rsidRPr="002F47F6" w:rsidRDefault="0057072D" w:rsidP="0057072D">
      <w:pPr>
        <w:pStyle w:val="ListParagraph"/>
        <w:numPr>
          <w:ilvl w:val="1"/>
          <w:numId w:val="9"/>
        </w:numPr>
        <w:spacing w:after="120" w:line="216" w:lineRule="auto"/>
      </w:pPr>
      <w:r w:rsidRPr="002F47F6">
        <w:t>Developing standards and guidelines for the various industries involved;</w:t>
      </w:r>
    </w:p>
    <w:p w14:paraId="3EF59207" w14:textId="1D8423F4" w:rsidR="0057072D" w:rsidRPr="002F47F6" w:rsidRDefault="0057072D" w:rsidP="0057072D">
      <w:pPr>
        <w:pStyle w:val="ListParagraph"/>
        <w:numPr>
          <w:ilvl w:val="1"/>
          <w:numId w:val="9"/>
        </w:numPr>
        <w:spacing w:after="120" w:line="216" w:lineRule="auto"/>
      </w:pPr>
      <w:r w:rsidRPr="002F47F6">
        <w:t xml:space="preserve">Providing awareness and promotion of EVs and related </w:t>
      </w:r>
      <w:r w:rsidR="0054193B">
        <w:t>actions</w:t>
      </w:r>
      <w:r w:rsidRPr="002F47F6">
        <w:t xml:space="preserve">, including watching overseas developments and </w:t>
      </w:r>
      <w:r w:rsidR="00865CD0" w:rsidRPr="002F47F6">
        <w:t>keeping up to date</w:t>
      </w:r>
      <w:r w:rsidRPr="002F47F6">
        <w:t xml:space="preserve"> with </w:t>
      </w:r>
      <w:r w:rsidR="00865CD0" w:rsidRPr="002F47F6">
        <w:t xml:space="preserve">relevant </w:t>
      </w:r>
      <w:r w:rsidRPr="002F47F6">
        <w:t>global technologies.</w:t>
      </w:r>
    </w:p>
    <w:p w14:paraId="2927CE4D" w14:textId="27825316" w:rsidR="00651840" w:rsidRPr="00194394" w:rsidRDefault="0057072D" w:rsidP="00194394">
      <w:pPr>
        <w:pStyle w:val="ListParagraph"/>
        <w:numPr>
          <w:ilvl w:val="1"/>
          <w:numId w:val="9"/>
        </w:numPr>
        <w:spacing w:after="120" w:line="216" w:lineRule="auto"/>
        <w:rPr>
          <w:sz w:val="20"/>
          <w:szCs w:val="20"/>
        </w:rPr>
      </w:pPr>
      <w:r w:rsidRPr="002F47F6">
        <w:t xml:space="preserve">Providing regional and local support to appropriate EV </w:t>
      </w:r>
      <w:r w:rsidR="0054193B">
        <w:t>actions</w:t>
      </w:r>
      <w:r w:rsidRPr="002F47F6">
        <w:t xml:space="preserve"> and programs.</w:t>
      </w:r>
    </w:p>
    <w:p w14:paraId="77222760" w14:textId="77777777" w:rsidR="00651840" w:rsidRPr="00651840" w:rsidRDefault="00651840" w:rsidP="00651840">
      <w:pPr>
        <w:sectPr w:rsidR="00651840" w:rsidRPr="00651840" w:rsidSect="00AE2B16">
          <w:headerReference w:type="default" r:id="rId22"/>
          <w:footerReference w:type="default" r:id="rId23"/>
          <w:pgSz w:w="11906" w:h="16838"/>
          <w:pgMar w:top="1134" w:right="1440" w:bottom="992" w:left="1440" w:header="709" w:footer="709" w:gutter="0"/>
          <w:cols w:space="708"/>
          <w:docGrid w:linePitch="360"/>
        </w:sectPr>
      </w:pPr>
    </w:p>
    <w:p w14:paraId="744D920C" w14:textId="77777777" w:rsidR="000B3A46" w:rsidRPr="000C13D7" w:rsidRDefault="00052A8A" w:rsidP="000C13D7">
      <w:pPr>
        <w:pStyle w:val="Heading1"/>
        <w:numPr>
          <w:ilvl w:val="0"/>
          <w:numId w:val="0"/>
        </w:numPr>
        <w:spacing w:before="0" w:line="216" w:lineRule="auto"/>
        <w:ind w:left="432" w:hanging="432"/>
        <w:jc w:val="center"/>
        <w:rPr>
          <w:rFonts w:asciiTheme="minorHAnsi" w:hAnsiTheme="minorHAnsi" w:cstheme="minorHAnsi"/>
          <w:b/>
          <w:color w:val="1F3864" w:themeColor="accent1" w:themeShade="80"/>
          <w:sz w:val="22"/>
        </w:rPr>
      </w:pPr>
      <w:bookmarkStart w:id="39" w:name="_Toc38034055"/>
      <w:r w:rsidRPr="000C13D7">
        <w:rPr>
          <w:rFonts w:asciiTheme="minorHAnsi" w:hAnsiTheme="minorHAnsi" w:cstheme="minorHAnsi"/>
          <w:b/>
          <w:color w:val="1F3864" w:themeColor="accent1" w:themeShade="80"/>
          <w:sz w:val="22"/>
        </w:rPr>
        <w:lastRenderedPageBreak/>
        <w:t xml:space="preserve">Appendix A: Potential Barriers </w:t>
      </w:r>
      <w:r w:rsidR="002B1F78" w:rsidRPr="000C13D7">
        <w:rPr>
          <w:rFonts w:asciiTheme="minorHAnsi" w:hAnsiTheme="minorHAnsi" w:cstheme="minorHAnsi"/>
          <w:b/>
          <w:color w:val="1F3864" w:themeColor="accent1" w:themeShade="80"/>
          <w:sz w:val="22"/>
        </w:rPr>
        <w:t>to the</w:t>
      </w:r>
      <w:r w:rsidR="000B3A46" w:rsidRPr="000C13D7">
        <w:rPr>
          <w:rFonts w:asciiTheme="minorHAnsi" w:hAnsiTheme="minorHAnsi" w:cstheme="minorHAnsi"/>
          <w:b/>
          <w:color w:val="1F3864" w:themeColor="accent1" w:themeShade="80"/>
          <w:sz w:val="22"/>
        </w:rPr>
        <w:t xml:space="preserve"> </w:t>
      </w:r>
      <w:r w:rsidRPr="000C13D7">
        <w:rPr>
          <w:rFonts w:asciiTheme="minorHAnsi" w:hAnsiTheme="minorHAnsi" w:cstheme="minorHAnsi"/>
          <w:b/>
          <w:color w:val="1F3864" w:themeColor="accent1" w:themeShade="80"/>
          <w:sz w:val="22"/>
        </w:rPr>
        <w:t xml:space="preserve">Deployment of </w:t>
      </w:r>
      <w:r w:rsidR="002B1F78" w:rsidRPr="000C13D7">
        <w:rPr>
          <w:rFonts w:asciiTheme="minorHAnsi" w:hAnsiTheme="minorHAnsi" w:cstheme="minorHAnsi"/>
          <w:b/>
          <w:color w:val="1F3864" w:themeColor="accent1" w:themeShade="80"/>
          <w:sz w:val="22"/>
        </w:rPr>
        <w:t>Electric Vehicles</w:t>
      </w:r>
      <w:bookmarkEnd w:id="39"/>
    </w:p>
    <w:p w14:paraId="5EE8C015" w14:textId="7D65222D" w:rsidR="00052A8A" w:rsidRDefault="002B1F78" w:rsidP="000C13D7">
      <w:pPr>
        <w:spacing w:after="0" w:line="216" w:lineRule="auto"/>
        <w:jc w:val="center"/>
        <w:rPr>
          <w:rFonts w:cstheme="minorHAnsi"/>
          <w:b/>
          <w:color w:val="1F3864" w:themeColor="accent1" w:themeShade="80"/>
        </w:rPr>
      </w:pPr>
      <w:bookmarkStart w:id="40" w:name="_Toc23860347"/>
      <w:r w:rsidRPr="000C13D7">
        <w:rPr>
          <w:rFonts w:cstheme="minorHAnsi"/>
          <w:b/>
          <w:color w:val="1F3864" w:themeColor="accent1" w:themeShade="80"/>
        </w:rPr>
        <w:t xml:space="preserve">and Related Technologies, and Management Strategies </w:t>
      </w:r>
      <w:r w:rsidR="00865CD0">
        <w:rPr>
          <w:rFonts w:cstheme="minorHAnsi"/>
          <w:b/>
          <w:color w:val="1F3864" w:themeColor="accent1" w:themeShade="80"/>
        </w:rPr>
        <w:t>for</w:t>
      </w:r>
      <w:r w:rsidR="00865CD0" w:rsidRPr="000C13D7">
        <w:rPr>
          <w:rFonts w:cstheme="minorHAnsi"/>
          <w:b/>
          <w:color w:val="1F3864" w:themeColor="accent1" w:themeShade="80"/>
        </w:rPr>
        <w:t xml:space="preserve"> </w:t>
      </w:r>
      <w:r w:rsidRPr="000C13D7">
        <w:rPr>
          <w:rFonts w:cstheme="minorHAnsi"/>
          <w:b/>
          <w:color w:val="1F3864" w:themeColor="accent1" w:themeShade="80"/>
        </w:rPr>
        <w:t>these</w:t>
      </w:r>
      <w:r w:rsidR="00201EEC" w:rsidRPr="000C13D7">
        <w:rPr>
          <w:rFonts w:cstheme="minorHAnsi"/>
          <w:b/>
          <w:color w:val="1F3864" w:themeColor="accent1" w:themeShade="80"/>
        </w:rPr>
        <w:t>, Table 1a</w:t>
      </w:r>
      <w:r w:rsidR="00201EEC" w:rsidRPr="000C13D7">
        <w:rPr>
          <w:rFonts w:asciiTheme="majorHAnsi" w:hAnsiTheme="majorHAnsi" w:cstheme="majorHAnsi"/>
          <w:b/>
          <w:color w:val="2F5496" w:themeColor="accent1" w:themeShade="BF"/>
        </w:rPr>
        <w:t>.</w:t>
      </w:r>
      <w:bookmarkEnd w:id="40"/>
    </w:p>
    <w:p w14:paraId="221DCADC" w14:textId="5435B7EC" w:rsidR="000C13D7" w:rsidRPr="000C13D7" w:rsidRDefault="00063035" w:rsidP="000C13D7">
      <w:pPr>
        <w:jc w:val="center"/>
        <w:rPr>
          <w:sz w:val="20"/>
          <w:szCs w:val="20"/>
        </w:rPr>
      </w:pPr>
      <w:r w:rsidRPr="00651840">
        <w:rPr>
          <w:noProof/>
          <w:lang w:val="pt-BR" w:eastAsia="pt-BR"/>
        </w:rPr>
        <w:drawing>
          <wp:anchor distT="0" distB="0" distL="114300" distR="114300" simplePos="0" relativeHeight="251685888" behindDoc="0" locked="0" layoutInCell="1" allowOverlap="1" wp14:anchorId="1562A731" wp14:editId="48D7A822">
            <wp:simplePos x="0" y="0"/>
            <wp:positionH relativeFrom="margin">
              <wp:posOffset>247650</wp:posOffset>
            </wp:positionH>
            <wp:positionV relativeFrom="paragraph">
              <wp:posOffset>33655</wp:posOffset>
            </wp:positionV>
            <wp:extent cx="7384415" cy="6114415"/>
            <wp:effectExtent l="0" t="0" r="6985" b="635"/>
            <wp:wrapThrough wrapText="bothSides">
              <wp:wrapPolygon edited="0">
                <wp:start x="0" y="0"/>
                <wp:lineTo x="0" y="21535"/>
                <wp:lineTo x="21565" y="21535"/>
                <wp:lineTo x="2156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4415" cy="611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C1C9B" w14:textId="62D9A056" w:rsidR="000C13D7" w:rsidRPr="000C13D7" w:rsidRDefault="000C13D7" w:rsidP="000C13D7">
      <w:pPr>
        <w:rPr>
          <w:sz w:val="20"/>
          <w:szCs w:val="20"/>
        </w:rPr>
      </w:pPr>
    </w:p>
    <w:p w14:paraId="0B332D55" w14:textId="2BDDC190" w:rsidR="003506B7" w:rsidRDefault="003506B7">
      <w:pPr>
        <w:jc w:val="left"/>
        <w:rPr>
          <w:rFonts w:cstheme="minorHAnsi"/>
          <w:b/>
          <w:color w:val="1F3864" w:themeColor="accent1" w:themeShade="80"/>
        </w:rPr>
      </w:pPr>
      <w:bookmarkStart w:id="41" w:name="_Toc24466425"/>
      <w:r w:rsidRPr="00063035">
        <w:rPr>
          <w:noProof/>
          <w:lang w:val="pt-BR" w:eastAsia="pt-BR"/>
        </w:rPr>
        <w:drawing>
          <wp:anchor distT="0" distB="0" distL="114300" distR="114300" simplePos="0" relativeHeight="251686912" behindDoc="0" locked="0" layoutInCell="1" allowOverlap="1" wp14:anchorId="0A3E7609" wp14:editId="1E8A84D5">
            <wp:simplePos x="0" y="0"/>
            <wp:positionH relativeFrom="margin">
              <wp:align>right</wp:align>
            </wp:positionH>
            <wp:positionV relativeFrom="paragraph">
              <wp:posOffset>1818640</wp:posOffset>
            </wp:positionV>
            <wp:extent cx="1593850" cy="1530350"/>
            <wp:effectExtent l="0" t="0" r="6350" b="0"/>
            <wp:wrapThrough wrapText="bothSides">
              <wp:wrapPolygon edited="0">
                <wp:start x="0" y="0"/>
                <wp:lineTo x="0" y="21241"/>
                <wp:lineTo x="21428" y="21241"/>
                <wp:lineTo x="214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8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color w:val="1F3864" w:themeColor="accent1" w:themeShade="80"/>
        </w:rPr>
        <w:br w:type="page"/>
      </w:r>
    </w:p>
    <w:p w14:paraId="41E25979" w14:textId="552F82E9" w:rsidR="00A92271" w:rsidRPr="000C13D7" w:rsidRDefault="00201EEC"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lastRenderedPageBreak/>
        <w:t>Appendix A continued: Potential Barriers to the Deployment of Electric Vehicles</w:t>
      </w:r>
      <w:bookmarkEnd w:id="41"/>
    </w:p>
    <w:p w14:paraId="238F57D7" w14:textId="46CE20DE" w:rsidR="00201EEC" w:rsidRPr="000C13D7" w:rsidRDefault="00201EEC"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t xml:space="preserve">and Related Technologies, and Management Strategies </w:t>
      </w:r>
      <w:r w:rsidR="00865CD0">
        <w:rPr>
          <w:rFonts w:cstheme="minorHAnsi"/>
          <w:b/>
          <w:color w:val="1F3864" w:themeColor="accent1" w:themeShade="80"/>
        </w:rPr>
        <w:t>for</w:t>
      </w:r>
      <w:r w:rsidR="00865CD0" w:rsidRPr="000C13D7">
        <w:rPr>
          <w:rFonts w:cstheme="minorHAnsi"/>
          <w:b/>
          <w:color w:val="1F3864" w:themeColor="accent1" w:themeShade="80"/>
        </w:rPr>
        <w:t xml:space="preserve"> </w:t>
      </w:r>
      <w:r w:rsidRPr="000C13D7">
        <w:rPr>
          <w:rFonts w:cstheme="minorHAnsi"/>
          <w:b/>
          <w:color w:val="1F3864" w:themeColor="accent1" w:themeShade="80"/>
        </w:rPr>
        <w:t>these, Table 1b.</w:t>
      </w:r>
    </w:p>
    <w:p w14:paraId="4D29A7A0" w14:textId="6A152234" w:rsidR="00201EEC" w:rsidRDefault="00201EEC" w:rsidP="00651840">
      <w:pPr>
        <w:spacing w:after="0" w:line="216" w:lineRule="auto"/>
        <w:ind w:left="709" w:hanging="709"/>
        <w:jc w:val="center"/>
        <w:rPr>
          <w:sz w:val="20"/>
          <w:szCs w:val="20"/>
        </w:rPr>
      </w:pPr>
    </w:p>
    <w:p w14:paraId="381918EC" w14:textId="094A57F9" w:rsidR="003506B7" w:rsidRDefault="003506B7">
      <w:pPr>
        <w:jc w:val="left"/>
        <w:rPr>
          <w:rFonts w:cstheme="minorHAnsi"/>
          <w:b/>
          <w:color w:val="1F3864" w:themeColor="accent1" w:themeShade="80"/>
        </w:rPr>
      </w:pPr>
      <w:bookmarkStart w:id="42" w:name="_Toc24466426"/>
      <w:r w:rsidRPr="00063035">
        <w:rPr>
          <w:noProof/>
          <w:lang w:val="pt-BR" w:eastAsia="pt-BR"/>
        </w:rPr>
        <w:drawing>
          <wp:anchor distT="0" distB="0" distL="114300" distR="114300" simplePos="0" relativeHeight="251689984" behindDoc="0" locked="0" layoutInCell="1" allowOverlap="1" wp14:anchorId="1DF67553" wp14:editId="2AB84ABF">
            <wp:simplePos x="0" y="0"/>
            <wp:positionH relativeFrom="column">
              <wp:posOffset>7555230</wp:posOffset>
            </wp:positionH>
            <wp:positionV relativeFrom="paragraph">
              <wp:posOffset>2120265</wp:posOffset>
            </wp:positionV>
            <wp:extent cx="1587500" cy="1524635"/>
            <wp:effectExtent l="0" t="0" r="0" b="0"/>
            <wp:wrapThrough wrapText="bothSides">
              <wp:wrapPolygon edited="0">
                <wp:start x="0" y="0"/>
                <wp:lineTo x="0" y="21321"/>
                <wp:lineTo x="21254" y="21321"/>
                <wp:lineTo x="2125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840">
        <w:rPr>
          <w:noProof/>
          <w:lang w:val="pt-BR" w:eastAsia="pt-BR"/>
        </w:rPr>
        <w:drawing>
          <wp:anchor distT="0" distB="0" distL="114300" distR="114300" simplePos="0" relativeHeight="251687936" behindDoc="0" locked="0" layoutInCell="1" allowOverlap="1" wp14:anchorId="4F080D7E" wp14:editId="01CA07E6">
            <wp:simplePos x="0" y="0"/>
            <wp:positionH relativeFrom="margin">
              <wp:posOffset>715010</wp:posOffset>
            </wp:positionH>
            <wp:positionV relativeFrom="paragraph">
              <wp:posOffset>-133350</wp:posOffset>
            </wp:positionV>
            <wp:extent cx="6752590" cy="6142355"/>
            <wp:effectExtent l="0" t="0" r="0" b="0"/>
            <wp:wrapThrough wrapText="bothSides">
              <wp:wrapPolygon edited="0">
                <wp:start x="0" y="0"/>
                <wp:lineTo x="0" y="21504"/>
                <wp:lineTo x="21511" y="21504"/>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2590" cy="6142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color w:val="1F3864" w:themeColor="accent1" w:themeShade="80"/>
        </w:rPr>
        <w:br w:type="page"/>
      </w:r>
    </w:p>
    <w:p w14:paraId="52107AC4" w14:textId="49FC53BE" w:rsidR="00F134CA" w:rsidRPr="000C13D7" w:rsidRDefault="00F134CA"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lastRenderedPageBreak/>
        <w:t>Appendix A Continued: Potential Barriers to the Deployment of Electric Vehicles</w:t>
      </w:r>
      <w:bookmarkEnd w:id="42"/>
    </w:p>
    <w:p w14:paraId="5D42A2A5" w14:textId="321F4111" w:rsidR="00F134CA" w:rsidRPr="000C13D7" w:rsidRDefault="00F134CA"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t xml:space="preserve">and Related Technologies, and Management Strategies </w:t>
      </w:r>
      <w:r w:rsidR="00865CD0">
        <w:rPr>
          <w:rFonts w:cstheme="minorHAnsi"/>
          <w:b/>
          <w:color w:val="1F3864" w:themeColor="accent1" w:themeShade="80"/>
        </w:rPr>
        <w:t>for</w:t>
      </w:r>
      <w:r w:rsidR="00865CD0" w:rsidRPr="000C13D7">
        <w:rPr>
          <w:rFonts w:cstheme="minorHAnsi"/>
          <w:b/>
          <w:color w:val="1F3864" w:themeColor="accent1" w:themeShade="80"/>
        </w:rPr>
        <w:t xml:space="preserve"> </w:t>
      </w:r>
      <w:r w:rsidRPr="000C13D7">
        <w:rPr>
          <w:rFonts w:cstheme="minorHAnsi"/>
          <w:b/>
          <w:color w:val="1F3864" w:themeColor="accent1" w:themeShade="80"/>
        </w:rPr>
        <w:t>these, Table 1c</w:t>
      </w:r>
    </w:p>
    <w:p w14:paraId="60666DEE" w14:textId="79DDADA5" w:rsidR="00F134CA" w:rsidRDefault="003506B7" w:rsidP="00651840">
      <w:pPr>
        <w:spacing w:after="0" w:line="216" w:lineRule="auto"/>
        <w:ind w:left="1701" w:hanging="1701"/>
        <w:jc w:val="center"/>
        <w:rPr>
          <w:sz w:val="20"/>
          <w:szCs w:val="20"/>
        </w:rPr>
      </w:pPr>
      <w:r w:rsidRPr="00651840">
        <w:rPr>
          <w:noProof/>
          <w:lang w:val="pt-BR" w:eastAsia="pt-BR"/>
        </w:rPr>
        <w:drawing>
          <wp:anchor distT="0" distB="0" distL="114300" distR="114300" simplePos="0" relativeHeight="251691008" behindDoc="0" locked="0" layoutInCell="1" allowOverlap="1" wp14:anchorId="5F6F24A7" wp14:editId="5AA9A824">
            <wp:simplePos x="0" y="0"/>
            <wp:positionH relativeFrom="column">
              <wp:posOffset>1008380</wp:posOffset>
            </wp:positionH>
            <wp:positionV relativeFrom="paragraph">
              <wp:posOffset>8255</wp:posOffset>
            </wp:positionV>
            <wp:extent cx="6597650" cy="6110318"/>
            <wp:effectExtent l="0" t="0" r="0" b="5080"/>
            <wp:wrapThrough wrapText="bothSides">
              <wp:wrapPolygon edited="0">
                <wp:start x="0" y="0"/>
                <wp:lineTo x="0" y="21551"/>
                <wp:lineTo x="21517" y="21551"/>
                <wp:lineTo x="2151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7650" cy="6110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42312" w14:textId="54E1DE7F" w:rsidR="00F134CA" w:rsidRPr="000C13D7" w:rsidRDefault="003506B7">
      <w:pPr>
        <w:spacing w:after="0" w:line="216" w:lineRule="auto"/>
        <w:ind w:firstLine="426"/>
        <w:rPr>
          <w:sz w:val="10"/>
          <w:szCs w:val="20"/>
        </w:rPr>
      </w:pPr>
      <w:r w:rsidRPr="00063035">
        <w:rPr>
          <w:noProof/>
          <w:lang w:val="pt-BR" w:eastAsia="pt-BR"/>
        </w:rPr>
        <w:drawing>
          <wp:anchor distT="0" distB="0" distL="114300" distR="114300" simplePos="0" relativeHeight="251693056" behindDoc="0" locked="0" layoutInCell="1" allowOverlap="1" wp14:anchorId="782190AA" wp14:editId="3D637140">
            <wp:simplePos x="0" y="0"/>
            <wp:positionH relativeFrom="column">
              <wp:posOffset>7656830</wp:posOffset>
            </wp:positionH>
            <wp:positionV relativeFrom="paragraph">
              <wp:posOffset>2240915</wp:posOffset>
            </wp:positionV>
            <wp:extent cx="1587500" cy="1524635"/>
            <wp:effectExtent l="0" t="0" r="0" b="0"/>
            <wp:wrapThrough wrapText="bothSides">
              <wp:wrapPolygon edited="0">
                <wp:start x="0" y="0"/>
                <wp:lineTo x="0" y="21321"/>
                <wp:lineTo x="21254" y="21321"/>
                <wp:lineTo x="2125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23AB0" w14:textId="0C650509" w:rsidR="00F134CA" w:rsidRDefault="00F134CA" w:rsidP="00F134CA">
      <w:pPr>
        <w:spacing w:after="0" w:line="216" w:lineRule="auto"/>
        <w:ind w:hanging="142"/>
        <w:rPr>
          <w:sz w:val="20"/>
          <w:szCs w:val="20"/>
        </w:rPr>
      </w:pPr>
    </w:p>
    <w:p w14:paraId="206240EA" w14:textId="77777777" w:rsidR="00201EEC" w:rsidRPr="00823DFB" w:rsidRDefault="00201EEC" w:rsidP="00201EEC">
      <w:pPr>
        <w:spacing w:after="0" w:line="216" w:lineRule="auto"/>
        <w:ind w:hanging="142"/>
        <w:rPr>
          <w:sz w:val="20"/>
          <w:szCs w:val="20"/>
        </w:rPr>
      </w:pPr>
    </w:p>
    <w:p w14:paraId="701601F6" w14:textId="77777777" w:rsidR="003506B7" w:rsidRDefault="003506B7">
      <w:pPr>
        <w:jc w:val="left"/>
        <w:rPr>
          <w:rFonts w:cstheme="minorHAnsi"/>
          <w:b/>
          <w:color w:val="1F3864" w:themeColor="accent1" w:themeShade="80"/>
        </w:rPr>
      </w:pPr>
      <w:bookmarkStart w:id="43" w:name="_Toc24466427"/>
      <w:r>
        <w:rPr>
          <w:rFonts w:cstheme="minorHAnsi"/>
          <w:b/>
          <w:color w:val="1F3864" w:themeColor="accent1" w:themeShade="80"/>
        </w:rPr>
        <w:br w:type="page"/>
      </w:r>
    </w:p>
    <w:p w14:paraId="746115B7" w14:textId="340AE766" w:rsidR="00F134CA" w:rsidRPr="000C13D7" w:rsidRDefault="00F134CA"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lastRenderedPageBreak/>
        <w:t>Appendix A Continued: Potential Barriers to the Deployment of Electric Vehicles</w:t>
      </w:r>
      <w:bookmarkEnd w:id="43"/>
    </w:p>
    <w:p w14:paraId="4B8AFCF9" w14:textId="612340C6" w:rsidR="00F134CA" w:rsidRPr="000C13D7" w:rsidRDefault="00F134CA" w:rsidP="000C13D7">
      <w:pPr>
        <w:spacing w:after="0" w:line="216" w:lineRule="auto"/>
        <w:jc w:val="center"/>
        <w:rPr>
          <w:rFonts w:cstheme="minorHAnsi"/>
          <w:b/>
          <w:color w:val="1F3864" w:themeColor="accent1" w:themeShade="80"/>
        </w:rPr>
      </w:pPr>
      <w:r w:rsidRPr="000C13D7">
        <w:rPr>
          <w:rFonts w:cstheme="minorHAnsi"/>
          <w:b/>
          <w:color w:val="1F3864" w:themeColor="accent1" w:themeShade="80"/>
        </w:rPr>
        <w:t xml:space="preserve">and Related Technologies, and Management Strategies </w:t>
      </w:r>
      <w:r w:rsidR="00865CD0">
        <w:rPr>
          <w:rFonts w:cstheme="minorHAnsi"/>
          <w:b/>
          <w:color w:val="1F3864" w:themeColor="accent1" w:themeShade="80"/>
        </w:rPr>
        <w:t>for</w:t>
      </w:r>
      <w:r w:rsidR="00865CD0" w:rsidRPr="000C13D7">
        <w:rPr>
          <w:rFonts w:cstheme="minorHAnsi"/>
          <w:b/>
          <w:color w:val="1F3864" w:themeColor="accent1" w:themeShade="80"/>
        </w:rPr>
        <w:t xml:space="preserve"> </w:t>
      </w:r>
      <w:r w:rsidRPr="000C13D7">
        <w:rPr>
          <w:rFonts w:cstheme="minorHAnsi"/>
          <w:b/>
          <w:color w:val="1F3864" w:themeColor="accent1" w:themeShade="80"/>
        </w:rPr>
        <w:t>these, Table 1d.</w:t>
      </w:r>
    </w:p>
    <w:p w14:paraId="2E17C116" w14:textId="2E0468AA" w:rsidR="00F134CA" w:rsidRDefault="003506B7" w:rsidP="00917C49">
      <w:pPr>
        <w:spacing w:after="0" w:line="216" w:lineRule="auto"/>
        <w:ind w:left="2127" w:hanging="2127"/>
        <w:jc w:val="center"/>
        <w:rPr>
          <w:sz w:val="20"/>
          <w:szCs w:val="20"/>
        </w:rPr>
      </w:pPr>
      <w:r w:rsidRPr="00917C49">
        <w:rPr>
          <w:noProof/>
          <w:lang w:val="pt-BR" w:eastAsia="pt-BR"/>
        </w:rPr>
        <w:drawing>
          <wp:anchor distT="0" distB="0" distL="114300" distR="114300" simplePos="0" relativeHeight="251694080" behindDoc="0" locked="0" layoutInCell="1" allowOverlap="1" wp14:anchorId="0550CF63" wp14:editId="3F7A539C">
            <wp:simplePos x="0" y="0"/>
            <wp:positionH relativeFrom="column">
              <wp:posOffset>1287780</wp:posOffset>
            </wp:positionH>
            <wp:positionV relativeFrom="paragraph">
              <wp:posOffset>62865</wp:posOffset>
            </wp:positionV>
            <wp:extent cx="5861050" cy="6055360"/>
            <wp:effectExtent l="0" t="0" r="6350" b="2540"/>
            <wp:wrapThrough wrapText="bothSides">
              <wp:wrapPolygon edited="0">
                <wp:start x="0" y="0"/>
                <wp:lineTo x="0" y="21541"/>
                <wp:lineTo x="21553" y="21541"/>
                <wp:lineTo x="2155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605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C9F80" w14:textId="1704FD20" w:rsidR="003506B7" w:rsidRDefault="003506B7">
      <w:pPr>
        <w:jc w:val="left"/>
        <w:rPr>
          <w:rFonts w:eastAsiaTheme="majorEastAsia" w:cstheme="minorHAnsi"/>
          <w:b/>
          <w:color w:val="1F3864" w:themeColor="accent1" w:themeShade="80"/>
          <w:szCs w:val="32"/>
        </w:rPr>
      </w:pPr>
      <w:r w:rsidRPr="00063035">
        <w:rPr>
          <w:noProof/>
          <w:lang w:val="pt-BR" w:eastAsia="pt-BR"/>
        </w:rPr>
        <w:drawing>
          <wp:anchor distT="0" distB="0" distL="114300" distR="114300" simplePos="0" relativeHeight="251696128" behindDoc="0" locked="0" layoutInCell="1" allowOverlap="1" wp14:anchorId="356F6122" wp14:editId="4252CA89">
            <wp:simplePos x="0" y="0"/>
            <wp:positionH relativeFrom="column">
              <wp:posOffset>7244080</wp:posOffset>
            </wp:positionH>
            <wp:positionV relativeFrom="paragraph">
              <wp:posOffset>2145665</wp:posOffset>
            </wp:positionV>
            <wp:extent cx="1587500" cy="1524635"/>
            <wp:effectExtent l="0" t="0" r="0" b="0"/>
            <wp:wrapThrough wrapText="bothSides">
              <wp:wrapPolygon edited="0">
                <wp:start x="0" y="0"/>
                <wp:lineTo x="0" y="21321"/>
                <wp:lineTo x="21254" y="21321"/>
                <wp:lineTo x="2125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color w:val="1F3864" w:themeColor="accent1" w:themeShade="80"/>
        </w:rPr>
        <w:br w:type="page"/>
      </w:r>
    </w:p>
    <w:p w14:paraId="605740A8" w14:textId="60EF7E5C" w:rsidR="00F134CA" w:rsidRPr="000C13D7" w:rsidRDefault="00F134CA" w:rsidP="00F134CA">
      <w:pPr>
        <w:pStyle w:val="Heading1"/>
        <w:numPr>
          <w:ilvl w:val="0"/>
          <w:numId w:val="0"/>
        </w:numPr>
        <w:spacing w:before="0" w:line="216" w:lineRule="auto"/>
        <w:ind w:hanging="284"/>
        <w:jc w:val="center"/>
        <w:rPr>
          <w:rFonts w:asciiTheme="minorHAnsi" w:hAnsiTheme="minorHAnsi" w:cstheme="minorHAnsi"/>
          <w:b/>
          <w:color w:val="1F3864" w:themeColor="accent1" w:themeShade="80"/>
          <w:sz w:val="22"/>
        </w:rPr>
      </w:pPr>
      <w:bookmarkStart w:id="44" w:name="_Toc38034056"/>
      <w:r w:rsidRPr="000C13D7">
        <w:rPr>
          <w:rFonts w:asciiTheme="minorHAnsi" w:hAnsiTheme="minorHAnsi" w:cstheme="minorHAnsi"/>
          <w:b/>
          <w:color w:val="1F3864" w:themeColor="accent1" w:themeShade="80"/>
          <w:sz w:val="22"/>
        </w:rPr>
        <w:lastRenderedPageBreak/>
        <w:t xml:space="preserve">Appendix </w:t>
      </w:r>
      <w:r w:rsidR="00AE784A" w:rsidRPr="000C13D7">
        <w:rPr>
          <w:rFonts w:asciiTheme="minorHAnsi" w:hAnsiTheme="minorHAnsi" w:cstheme="minorHAnsi"/>
          <w:b/>
          <w:color w:val="1F3864" w:themeColor="accent1" w:themeShade="80"/>
          <w:sz w:val="22"/>
        </w:rPr>
        <w:t>B</w:t>
      </w:r>
      <w:r w:rsidRPr="000C13D7">
        <w:rPr>
          <w:rFonts w:asciiTheme="minorHAnsi" w:hAnsiTheme="minorHAnsi" w:cstheme="minorHAnsi"/>
          <w:b/>
          <w:color w:val="1F3864" w:themeColor="accent1" w:themeShade="80"/>
          <w:sz w:val="22"/>
        </w:rPr>
        <w:t xml:space="preserve">: Potential </w:t>
      </w:r>
      <w:r w:rsidR="005365EF" w:rsidRPr="000C13D7">
        <w:rPr>
          <w:rFonts w:asciiTheme="minorHAnsi" w:hAnsiTheme="minorHAnsi" w:cstheme="minorHAnsi"/>
          <w:b/>
          <w:color w:val="1F3864" w:themeColor="accent1" w:themeShade="80"/>
          <w:sz w:val="22"/>
        </w:rPr>
        <w:t>Ri</w:t>
      </w:r>
      <w:r w:rsidR="001303D0">
        <w:rPr>
          <w:rFonts w:asciiTheme="minorHAnsi" w:hAnsiTheme="minorHAnsi" w:cstheme="minorHAnsi"/>
          <w:b/>
          <w:color w:val="1F3864" w:themeColor="accent1" w:themeShade="80"/>
          <w:sz w:val="22"/>
        </w:rPr>
        <w:t>s</w:t>
      </w:r>
      <w:r w:rsidR="005365EF" w:rsidRPr="000C13D7">
        <w:rPr>
          <w:rFonts w:asciiTheme="minorHAnsi" w:hAnsiTheme="minorHAnsi" w:cstheme="minorHAnsi"/>
          <w:b/>
          <w:color w:val="1F3864" w:themeColor="accent1" w:themeShade="80"/>
          <w:sz w:val="22"/>
        </w:rPr>
        <w:t>ks</w:t>
      </w:r>
      <w:r w:rsidRPr="000C13D7">
        <w:rPr>
          <w:rFonts w:asciiTheme="minorHAnsi" w:hAnsiTheme="minorHAnsi" w:cstheme="minorHAnsi"/>
          <w:b/>
          <w:color w:val="1F3864" w:themeColor="accent1" w:themeShade="80"/>
          <w:sz w:val="22"/>
        </w:rPr>
        <w:t xml:space="preserve"> to the Deployment of Electric Vehicles</w:t>
      </w:r>
      <w:bookmarkEnd w:id="44"/>
    </w:p>
    <w:p w14:paraId="0E585ACE" w14:textId="07140185" w:rsidR="00F134CA" w:rsidRPr="000C13D7" w:rsidRDefault="00F134CA" w:rsidP="000C13D7">
      <w:pPr>
        <w:spacing w:after="0"/>
        <w:jc w:val="center"/>
        <w:rPr>
          <w:rFonts w:cstheme="minorHAnsi"/>
          <w:b/>
          <w:color w:val="1F3864" w:themeColor="accent1" w:themeShade="80"/>
        </w:rPr>
      </w:pPr>
      <w:r w:rsidRPr="000C13D7">
        <w:rPr>
          <w:rFonts w:cstheme="minorHAnsi"/>
          <w:b/>
          <w:color w:val="1F3864" w:themeColor="accent1" w:themeShade="80"/>
        </w:rPr>
        <w:t xml:space="preserve">and Related Technologies, and Management Strategies </w:t>
      </w:r>
      <w:r w:rsidR="00865CD0">
        <w:rPr>
          <w:rFonts w:cstheme="minorHAnsi"/>
          <w:b/>
          <w:color w:val="1F3864" w:themeColor="accent1" w:themeShade="80"/>
        </w:rPr>
        <w:t>for</w:t>
      </w:r>
      <w:r w:rsidR="00865CD0" w:rsidRPr="000C13D7">
        <w:rPr>
          <w:rFonts w:cstheme="minorHAnsi"/>
          <w:b/>
          <w:color w:val="1F3864" w:themeColor="accent1" w:themeShade="80"/>
        </w:rPr>
        <w:t xml:space="preserve"> </w:t>
      </w:r>
      <w:r w:rsidRPr="000C13D7">
        <w:rPr>
          <w:rFonts w:cstheme="minorHAnsi"/>
          <w:b/>
          <w:color w:val="1F3864" w:themeColor="accent1" w:themeShade="80"/>
        </w:rPr>
        <w:t>these</w:t>
      </w:r>
    </w:p>
    <w:p w14:paraId="6EA04848" w14:textId="77777777" w:rsidR="00F134CA" w:rsidRDefault="00917C49" w:rsidP="00917C49">
      <w:pPr>
        <w:spacing w:after="0" w:line="216" w:lineRule="auto"/>
        <w:jc w:val="center"/>
        <w:rPr>
          <w:sz w:val="20"/>
          <w:szCs w:val="20"/>
        </w:rPr>
      </w:pPr>
      <w:r w:rsidRPr="00917C49">
        <w:rPr>
          <w:noProof/>
          <w:lang w:val="pt-BR" w:eastAsia="pt-BR"/>
        </w:rPr>
        <w:drawing>
          <wp:inline distT="0" distB="0" distL="0" distR="0" wp14:anchorId="523E1B43" wp14:editId="5BE2763C">
            <wp:extent cx="8343900" cy="36942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67180" cy="3704507"/>
                    </a:xfrm>
                    <a:prstGeom prst="rect">
                      <a:avLst/>
                    </a:prstGeom>
                    <a:noFill/>
                    <a:ln>
                      <a:noFill/>
                    </a:ln>
                  </pic:spPr>
                </pic:pic>
              </a:graphicData>
            </a:graphic>
          </wp:inline>
        </w:drawing>
      </w:r>
    </w:p>
    <w:p w14:paraId="1601DBE2" w14:textId="77777777" w:rsidR="00A92271" w:rsidRDefault="00A92271" w:rsidP="00AE784A">
      <w:pPr>
        <w:spacing w:after="0" w:line="216" w:lineRule="auto"/>
        <w:ind w:hanging="142"/>
        <w:jc w:val="center"/>
        <w:rPr>
          <w:sz w:val="20"/>
          <w:szCs w:val="20"/>
        </w:rPr>
      </w:pPr>
    </w:p>
    <w:p w14:paraId="605D2BF7" w14:textId="77777777" w:rsidR="00201EEC" w:rsidRDefault="00917C49" w:rsidP="00917C49">
      <w:pPr>
        <w:spacing w:after="0" w:line="216" w:lineRule="auto"/>
        <w:jc w:val="center"/>
        <w:rPr>
          <w:rFonts w:asciiTheme="majorHAnsi" w:eastAsiaTheme="majorEastAsia" w:hAnsiTheme="majorHAnsi" w:cstheme="majorBidi"/>
          <w:b/>
          <w:color w:val="2F5496" w:themeColor="accent1" w:themeShade="BF"/>
          <w:szCs w:val="32"/>
        </w:rPr>
      </w:pPr>
      <w:r w:rsidRPr="00917C49">
        <w:rPr>
          <w:noProof/>
          <w:lang w:val="pt-BR" w:eastAsia="pt-BR"/>
        </w:rPr>
        <w:drawing>
          <wp:inline distT="0" distB="0" distL="0" distR="0" wp14:anchorId="6CBA7D2E" wp14:editId="496130C4">
            <wp:extent cx="6896100" cy="2298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8003" cy="2299334"/>
                    </a:xfrm>
                    <a:prstGeom prst="rect">
                      <a:avLst/>
                    </a:prstGeom>
                    <a:noFill/>
                    <a:ln>
                      <a:noFill/>
                    </a:ln>
                  </pic:spPr>
                </pic:pic>
              </a:graphicData>
            </a:graphic>
          </wp:inline>
        </w:drawing>
      </w:r>
    </w:p>
    <w:p w14:paraId="716C8BC7" w14:textId="77777777" w:rsidR="00504E82" w:rsidRDefault="00504E82" w:rsidP="00F809BC">
      <w:pPr>
        <w:pStyle w:val="Heading2"/>
        <w:numPr>
          <w:ilvl w:val="0"/>
          <w:numId w:val="0"/>
        </w:numPr>
        <w:spacing w:after="120"/>
        <w:jc w:val="center"/>
        <w:rPr>
          <w:rFonts w:asciiTheme="minorHAnsi" w:hAnsiTheme="minorHAnsi" w:cstheme="minorHAnsi"/>
          <w:b/>
          <w:color w:val="1F3864" w:themeColor="accent1" w:themeShade="80"/>
          <w:sz w:val="22"/>
        </w:rPr>
        <w:sectPr w:rsidR="00504E82" w:rsidSect="000C13D7">
          <w:pgSz w:w="16838" w:h="11906" w:orient="landscape"/>
          <w:pgMar w:top="568" w:right="1134" w:bottom="426" w:left="992" w:header="709" w:footer="0" w:gutter="0"/>
          <w:cols w:space="708"/>
          <w:docGrid w:linePitch="360"/>
        </w:sectPr>
      </w:pPr>
    </w:p>
    <w:p w14:paraId="6C3B4475" w14:textId="77777777" w:rsidR="00BF6818" w:rsidRDefault="00BF6818" w:rsidP="00F809BC">
      <w:pPr>
        <w:pStyle w:val="Heading2"/>
        <w:numPr>
          <w:ilvl w:val="0"/>
          <w:numId w:val="0"/>
        </w:numPr>
        <w:spacing w:after="120"/>
        <w:jc w:val="center"/>
        <w:rPr>
          <w:rFonts w:asciiTheme="minorHAnsi" w:hAnsiTheme="minorHAnsi" w:cstheme="minorHAnsi"/>
          <w:b/>
          <w:color w:val="1F3864" w:themeColor="accent1" w:themeShade="80"/>
          <w:sz w:val="22"/>
        </w:rPr>
      </w:pPr>
    </w:p>
    <w:p w14:paraId="38BE1D63" w14:textId="4A5BB1FE" w:rsidR="00F809BC" w:rsidRPr="000C13D7" w:rsidRDefault="00F809BC" w:rsidP="00F809BC">
      <w:pPr>
        <w:pStyle w:val="Heading2"/>
        <w:numPr>
          <w:ilvl w:val="0"/>
          <w:numId w:val="0"/>
        </w:numPr>
        <w:spacing w:after="120"/>
        <w:jc w:val="center"/>
        <w:rPr>
          <w:rFonts w:asciiTheme="minorHAnsi" w:hAnsiTheme="minorHAnsi" w:cstheme="minorHAnsi"/>
          <w:b/>
          <w:color w:val="1F3864" w:themeColor="accent1" w:themeShade="80"/>
          <w:sz w:val="22"/>
          <w:szCs w:val="32"/>
        </w:rPr>
      </w:pPr>
      <w:bookmarkStart w:id="45" w:name="_Toc38034057"/>
      <w:r>
        <w:rPr>
          <w:rFonts w:asciiTheme="minorHAnsi" w:hAnsiTheme="minorHAnsi" w:cstheme="minorHAnsi"/>
          <w:b/>
          <w:color w:val="1F3864" w:themeColor="accent1" w:themeShade="80"/>
          <w:sz w:val="22"/>
        </w:rPr>
        <w:t>Appendix C: Recommend</w:t>
      </w:r>
      <w:r w:rsidR="001303D0">
        <w:rPr>
          <w:rFonts w:asciiTheme="minorHAnsi" w:hAnsiTheme="minorHAnsi" w:cstheme="minorHAnsi"/>
          <w:b/>
          <w:color w:val="1F3864" w:themeColor="accent1" w:themeShade="80"/>
          <w:sz w:val="22"/>
        </w:rPr>
        <w:t>ed</w:t>
      </w:r>
      <w:r>
        <w:rPr>
          <w:rFonts w:asciiTheme="minorHAnsi" w:hAnsiTheme="minorHAnsi" w:cstheme="minorHAnsi"/>
          <w:b/>
          <w:color w:val="1F3864" w:themeColor="accent1" w:themeShade="80"/>
          <w:sz w:val="22"/>
        </w:rPr>
        <w:t xml:space="preserve"> </w:t>
      </w:r>
      <w:r w:rsidR="0057781A">
        <w:rPr>
          <w:rFonts w:asciiTheme="minorHAnsi" w:hAnsiTheme="minorHAnsi" w:cstheme="minorHAnsi"/>
          <w:b/>
          <w:color w:val="1F3864" w:themeColor="accent1" w:themeShade="80"/>
          <w:sz w:val="22"/>
        </w:rPr>
        <w:t xml:space="preserve">Regional and National </w:t>
      </w:r>
      <w:r w:rsidRPr="000C13D7">
        <w:rPr>
          <w:rFonts w:asciiTheme="minorHAnsi" w:hAnsiTheme="minorHAnsi" w:cstheme="minorHAnsi"/>
          <w:b/>
          <w:color w:val="1F3864" w:themeColor="accent1" w:themeShade="80"/>
          <w:sz w:val="22"/>
        </w:rPr>
        <w:t xml:space="preserve">Policy </w:t>
      </w:r>
      <w:r w:rsidR="0054193B">
        <w:rPr>
          <w:rFonts w:asciiTheme="minorHAnsi" w:hAnsiTheme="minorHAnsi" w:cstheme="minorHAnsi"/>
          <w:b/>
          <w:color w:val="1F3864" w:themeColor="accent1" w:themeShade="80"/>
          <w:sz w:val="22"/>
        </w:rPr>
        <w:t>Actions</w:t>
      </w:r>
      <w:bookmarkEnd w:id="45"/>
    </w:p>
    <w:p w14:paraId="707A338E" w14:textId="77777777" w:rsidR="00F809BC" w:rsidRPr="002F47F6" w:rsidRDefault="00F809BC" w:rsidP="00F809BC">
      <w:pPr>
        <w:spacing w:after="120" w:line="216" w:lineRule="auto"/>
        <w:rPr>
          <w:bCs/>
        </w:rPr>
      </w:pPr>
      <w:r w:rsidRPr="002F47F6">
        <w:t>The policy measures identified to overcome barriers and risks to the increased uptake of electric mobility and integrated electricity supply are listed below, organised into the vehicle and charging arrangement type, and numbered for ease of reference. Notably absent from the list are purchase price subsidies on electric vehicles.  While this is a policy tool that is in wide use in many countries,</w:t>
      </w:r>
      <w:r w:rsidRPr="002F47F6">
        <w:rPr>
          <w:bCs/>
        </w:rPr>
        <w:t xml:space="preserve"> the policy has not been recommended here. This is because of </w:t>
      </w:r>
      <w:proofErr w:type="gramStart"/>
      <w:r w:rsidRPr="002F47F6">
        <w:rPr>
          <w:bCs/>
        </w:rPr>
        <w:t>a number of</w:t>
      </w:r>
      <w:proofErr w:type="gramEnd"/>
      <w:r w:rsidRPr="002F47F6">
        <w:rPr>
          <w:bCs/>
        </w:rPr>
        <w:t xml:space="preserve"> factors:</w:t>
      </w:r>
    </w:p>
    <w:p w14:paraId="1B18D190" w14:textId="77777777" w:rsidR="00F809BC" w:rsidRPr="002F47F6" w:rsidRDefault="00F809BC" w:rsidP="00F809BC">
      <w:pPr>
        <w:pStyle w:val="ListParagraph"/>
        <w:numPr>
          <w:ilvl w:val="0"/>
          <w:numId w:val="22"/>
        </w:numPr>
        <w:spacing w:after="120" w:line="216" w:lineRule="auto"/>
        <w:rPr>
          <w:bCs/>
        </w:rPr>
      </w:pPr>
      <w:r w:rsidRPr="002F47F6">
        <w:rPr>
          <w:bCs/>
        </w:rPr>
        <w:t>Subsidies are expensive policies and can distort a market such that vehicles unsuited for electrification, such as very low mileage vehicles, are incentivised to switch.</w:t>
      </w:r>
    </w:p>
    <w:p w14:paraId="222C4846" w14:textId="77777777" w:rsidR="00F809BC" w:rsidRPr="002F47F6" w:rsidRDefault="00F809BC" w:rsidP="00F809BC">
      <w:pPr>
        <w:pStyle w:val="ListParagraph"/>
        <w:numPr>
          <w:ilvl w:val="0"/>
          <w:numId w:val="22"/>
        </w:numPr>
        <w:spacing w:after="120" w:line="216" w:lineRule="auto"/>
        <w:rPr>
          <w:bCs/>
        </w:rPr>
      </w:pPr>
      <w:r w:rsidRPr="002F47F6">
        <w:rPr>
          <w:bCs/>
        </w:rPr>
        <w:t>The size of the markets in PICTs is very small on a global scale, and at that scale there is little transparency about whether subsidies will be passed through to consumers.</w:t>
      </w:r>
    </w:p>
    <w:p w14:paraId="17DD596F" w14:textId="77777777" w:rsidR="00F809BC" w:rsidRPr="002F47F6" w:rsidRDefault="00F809BC" w:rsidP="00F809BC">
      <w:pPr>
        <w:pStyle w:val="ListParagraph"/>
        <w:numPr>
          <w:ilvl w:val="0"/>
          <w:numId w:val="22"/>
        </w:numPr>
        <w:spacing w:after="120" w:line="216" w:lineRule="auto"/>
        <w:rPr>
          <w:bCs/>
        </w:rPr>
      </w:pPr>
      <w:r w:rsidRPr="002F47F6">
        <w:rPr>
          <w:bCs/>
        </w:rPr>
        <w:t>Future removal of purchase price subsidies, as the premium on electric vehicles reduces, can crash a market that would be otherwise poised to take off.</w:t>
      </w:r>
    </w:p>
    <w:p w14:paraId="21BCAD0D" w14:textId="77777777" w:rsidR="00F809BC" w:rsidRPr="002F47F6" w:rsidRDefault="00F809BC" w:rsidP="00F809BC">
      <w:pPr>
        <w:spacing w:after="120" w:line="216" w:lineRule="auto"/>
        <w:rPr>
          <w:bCs/>
        </w:rPr>
      </w:pPr>
      <w:r w:rsidRPr="002F47F6">
        <w:rPr>
          <w:bCs/>
        </w:rPr>
        <w:t xml:space="preserve">The New Zealand Government is currently considering an alternative to this with the use of a “clean car discount” scheme that would penalise those vehicles with high fuel consumption and subsidise those with low fuel consumption (including those that do not use fuel at all, as is the case with battery-electric vehicles). The scheme will be designed to be revenue neutral and takes into consideration the large proportion of vehicles that are imported used into the country – a feature that is in common with PICTs. It is recommended that PICTs maintain a watching brief on developments in case such a scheme might work for some PICTs.  </w:t>
      </w:r>
    </w:p>
    <w:p w14:paraId="5E478843" w14:textId="127F2400" w:rsidR="00F809BC" w:rsidRPr="002F47F6" w:rsidRDefault="00F809BC" w:rsidP="00F809BC">
      <w:pPr>
        <w:spacing w:after="120" w:line="216" w:lineRule="auto"/>
        <w:rPr>
          <w:b/>
        </w:rPr>
      </w:pPr>
      <w:r w:rsidRPr="002F47F6">
        <w:rPr>
          <w:b/>
        </w:rPr>
        <w:t xml:space="preserve">Recommended Policy </w:t>
      </w:r>
      <w:r w:rsidR="0054193B">
        <w:rPr>
          <w:b/>
        </w:rPr>
        <w:t>Actions</w:t>
      </w:r>
      <w:r w:rsidRPr="002F47F6">
        <w:rPr>
          <w:b/>
        </w:rPr>
        <w:t>:</w:t>
      </w:r>
    </w:p>
    <w:p w14:paraId="7943698C" w14:textId="77777777" w:rsidR="00F809BC" w:rsidRPr="002F47F6" w:rsidRDefault="00F809BC" w:rsidP="00F809BC">
      <w:pPr>
        <w:spacing w:after="120" w:line="216" w:lineRule="auto"/>
        <w:rPr>
          <w:b/>
        </w:rPr>
      </w:pPr>
      <w:r w:rsidRPr="002F47F6">
        <w:rPr>
          <w:b/>
        </w:rPr>
        <w:t xml:space="preserve">Central Policy </w:t>
      </w:r>
    </w:p>
    <w:p w14:paraId="2A351FB0" w14:textId="5ABFF957" w:rsidR="00362B13" w:rsidRPr="002F47F6" w:rsidRDefault="00684C01" w:rsidP="00362B13">
      <w:pPr>
        <w:pStyle w:val="ListParagraph"/>
        <w:numPr>
          <w:ilvl w:val="0"/>
          <w:numId w:val="37"/>
        </w:numPr>
        <w:spacing w:after="240" w:line="216" w:lineRule="auto"/>
        <w:ind w:left="1843" w:hanging="1559"/>
      </w:pPr>
      <w:r w:rsidRPr="002F47F6">
        <w:t xml:space="preserve">Develop and </w:t>
      </w:r>
      <w:r w:rsidR="00362B13" w:rsidRPr="002F47F6">
        <w:t xml:space="preserve">put in place high-level </w:t>
      </w:r>
      <w:r w:rsidR="00527C48">
        <w:t xml:space="preserve">targets and </w:t>
      </w:r>
      <w:r w:rsidR="00362B13" w:rsidRPr="002F47F6">
        <w:t>mandate</w:t>
      </w:r>
      <w:r w:rsidR="00527C48">
        <w:t>s</w:t>
      </w:r>
      <w:r w:rsidR="00362B13" w:rsidRPr="002F47F6">
        <w:t xml:space="preserve"> </w:t>
      </w:r>
      <w:r w:rsidRPr="003506B7">
        <w:t>concer</w:t>
      </w:r>
      <w:r w:rsidRPr="0019638F">
        <w:t xml:space="preserve">ning </w:t>
      </w:r>
      <w:r w:rsidR="00362B13" w:rsidRPr="0019638F">
        <w:t>EV uptake</w:t>
      </w:r>
      <w:r w:rsidR="0019638F">
        <w:t>.</w:t>
      </w:r>
    </w:p>
    <w:p w14:paraId="543067AC" w14:textId="14F8605B" w:rsidR="00C109CB" w:rsidRPr="002F47F6" w:rsidRDefault="00C109CB" w:rsidP="00C109CB">
      <w:pPr>
        <w:pStyle w:val="ListParagraph"/>
        <w:numPr>
          <w:ilvl w:val="0"/>
          <w:numId w:val="37"/>
        </w:numPr>
        <w:spacing w:after="240" w:line="216" w:lineRule="auto"/>
        <w:ind w:left="1843" w:hanging="1559"/>
      </w:pPr>
      <w:r w:rsidRPr="000C769A">
        <w:t xml:space="preserve">Form a </w:t>
      </w:r>
      <w:r>
        <w:t>R</w:t>
      </w:r>
      <w:r w:rsidRPr="000C769A">
        <w:t xml:space="preserve">egional EV </w:t>
      </w:r>
      <w:r>
        <w:t>Coordination Hub</w:t>
      </w:r>
      <w:r w:rsidRPr="000C769A">
        <w:t xml:space="preserve"> and </w:t>
      </w:r>
      <w:r>
        <w:t>Working Group</w:t>
      </w:r>
      <w:r w:rsidRPr="000C769A">
        <w:t xml:space="preserve"> comprising national, regional and international key stakeholders responsible for quality assurance, harmonisation, coordination and implementation of work packages as well as information sharing. A regional monitoring framework to track progress will be operated by the</w:t>
      </w:r>
      <w:r>
        <w:t xml:space="preserve"> Regional EV</w:t>
      </w:r>
      <w:r w:rsidRPr="000C769A">
        <w:t xml:space="preserve"> </w:t>
      </w:r>
      <w:r>
        <w:t>Coordination Hub</w:t>
      </w:r>
      <w:r w:rsidRPr="000C769A">
        <w:t>.</w:t>
      </w:r>
    </w:p>
    <w:p w14:paraId="46CC37B9" w14:textId="77777777" w:rsidR="00F809BC" w:rsidRPr="002F47F6" w:rsidRDefault="00F809BC" w:rsidP="00362B13">
      <w:pPr>
        <w:pStyle w:val="ListParagraph"/>
        <w:numPr>
          <w:ilvl w:val="0"/>
          <w:numId w:val="37"/>
        </w:numPr>
        <w:spacing w:after="240" w:line="216" w:lineRule="auto"/>
        <w:ind w:left="1843" w:hanging="1559"/>
      </w:pPr>
      <w:r w:rsidRPr="002F47F6">
        <w:t xml:space="preserve">Develop EV roadmaps for PICTs. </w:t>
      </w:r>
    </w:p>
    <w:p w14:paraId="23829EAF" w14:textId="77777777" w:rsidR="00F809BC" w:rsidRPr="002F47F6" w:rsidRDefault="00F809BC" w:rsidP="00362B13">
      <w:pPr>
        <w:pStyle w:val="ListParagraph"/>
        <w:numPr>
          <w:ilvl w:val="0"/>
          <w:numId w:val="37"/>
        </w:numPr>
        <w:spacing w:after="240" w:line="216" w:lineRule="auto"/>
        <w:ind w:left="1843" w:hanging="1559"/>
      </w:pPr>
      <w:r w:rsidRPr="002F47F6">
        <w:t>Consider import tax relief for compliant products, if applicable. Also consider the use of minimum specifications at the time of import to avoid the proliferation of poor-quality or unsupported product.</w:t>
      </w:r>
    </w:p>
    <w:p w14:paraId="650E5752" w14:textId="77777777" w:rsidR="00362B13" w:rsidRPr="002F47F6" w:rsidRDefault="00362B13" w:rsidP="00362B13">
      <w:pPr>
        <w:pStyle w:val="ListParagraph"/>
        <w:numPr>
          <w:ilvl w:val="0"/>
          <w:numId w:val="37"/>
        </w:numPr>
        <w:spacing w:after="240" w:line="216" w:lineRule="auto"/>
        <w:ind w:left="1843" w:hanging="1559"/>
      </w:pPr>
      <w:r w:rsidRPr="002F47F6">
        <w:t>Develop and set minimum specifications for goods, to be applied at the time of import (which may be linked to the tax levels applied</w:t>
      </w:r>
      <w:r w:rsidR="00684C01" w:rsidRPr="002F47F6">
        <w:t>)</w:t>
      </w:r>
      <w:r w:rsidRPr="002F47F6">
        <w:t>.</w:t>
      </w:r>
      <w:r w:rsidR="00684C01" w:rsidRPr="002F47F6">
        <w:t xml:space="preserve"> These are to include minimum standards for EVs, chargers and battery systems.</w:t>
      </w:r>
    </w:p>
    <w:p w14:paraId="7238C405" w14:textId="10A9E583" w:rsidR="00F809BC" w:rsidRPr="002F47F6" w:rsidRDefault="00F809BC" w:rsidP="00362B13">
      <w:pPr>
        <w:pStyle w:val="ListParagraph"/>
        <w:numPr>
          <w:ilvl w:val="0"/>
          <w:numId w:val="37"/>
        </w:numPr>
        <w:spacing w:after="240" w:line="216" w:lineRule="auto"/>
        <w:ind w:left="1843" w:hanging="1559"/>
      </w:pPr>
      <w:r w:rsidRPr="002F47F6">
        <w:t xml:space="preserve">Develop and deploy a monitoring and evaluation (M&amp;E) system (likely on the back of a system already in place) with the intent to keep the policy current with changes in the political landscape, and with developments in technology. These management systems must also allow for re-evaluation and pivoting of </w:t>
      </w:r>
      <w:r w:rsidR="0054193B">
        <w:t>action</w:t>
      </w:r>
      <w:r w:rsidRPr="002F47F6">
        <w:t xml:space="preserve"> direction and goals, if required to achieve the desired outcomes. Good governance is also required to instil efficient deployment and to also to prevent fraud, corruption and other damaging </w:t>
      </w:r>
      <w:r w:rsidR="0054193B">
        <w:t>actions</w:t>
      </w:r>
      <w:r w:rsidRPr="002F47F6">
        <w:t>.</w:t>
      </w:r>
    </w:p>
    <w:p w14:paraId="06C4EEDA" w14:textId="60D69619" w:rsidR="00684C01" w:rsidRPr="002F47F6" w:rsidRDefault="00684C01" w:rsidP="00362B13">
      <w:pPr>
        <w:pStyle w:val="ListParagraph"/>
        <w:numPr>
          <w:ilvl w:val="0"/>
          <w:numId w:val="37"/>
        </w:numPr>
        <w:spacing w:after="240" w:line="216" w:lineRule="auto"/>
        <w:ind w:left="1843" w:hanging="1559"/>
      </w:pPr>
      <w:r w:rsidRPr="002F47F6">
        <w:t xml:space="preserve">As required, introduce and/or amend the regulatory framework to provide for EVs, including the registration of them for use on the roads, the charging of them, and other associated </w:t>
      </w:r>
      <w:r w:rsidR="0054193B">
        <w:t>actions</w:t>
      </w:r>
      <w:r w:rsidRPr="002F47F6">
        <w:t xml:space="preserve">. </w:t>
      </w:r>
    </w:p>
    <w:p w14:paraId="4C0BDE90" w14:textId="77777777" w:rsidR="00684C01" w:rsidRPr="002F47F6" w:rsidRDefault="00F809BC" w:rsidP="002451B1">
      <w:pPr>
        <w:spacing w:after="120" w:line="216" w:lineRule="auto"/>
        <w:rPr>
          <w:b/>
        </w:rPr>
      </w:pPr>
      <w:r w:rsidRPr="002F47F6">
        <w:rPr>
          <w:b/>
        </w:rPr>
        <w:t>Mainstream (Passenger Car) Electric Vehicle Uptake:</w:t>
      </w:r>
    </w:p>
    <w:p w14:paraId="218DA20B" w14:textId="77777777" w:rsidR="00BB20D0" w:rsidRPr="002F47F6" w:rsidRDefault="00BB20D0" w:rsidP="00181092">
      <w:pPr>
        <w:pStyle w:val="ListParagraph"/>
        <w:numPr>
          <w:ilvl w:val="0"/>
          <w:numId w:val="37"/>
        </w:numPr>
        <w:spacing w:after="240" w:line="216" w:lineRule="auto"/>
        <w:ind w:left="1843" w:hanging="1559"/>
      </w:pPr>
      <w:r w:rsidRPr="002F47F6">
        <w:t>Set guidelines or requirements for charging including the specification of charging connectors and public charging guidelines to facilitate interoperability of electric vehicle charging (both fast and slow) and communicate these to vehicle suppliers and potential charging providers.</w:t>
      </w:r>
    </w:p>
    <w:p w14:paraId="518E55DD" w14:textId="77777777" w:rsidR="00BB20D0" w:rsidRPr="002F47F6" w:rsidRDefault="00BB20D0" w:rsidP="00181092">
      <w:pPr>
        <w:pStyle w:val="ListParagraph"/>
        <w:numPr>
          <w:ilvl w:val="0"/>
          <w:numId w:val="37"/>
        </w:numPr>
        <w:spacing w:after="240" w:line="216" w:lineRule="auto"/>
        <w:ind w:left="1843" w:hanging="1559"/>
      </w:pPr>
      <w:r w:rsidRPr="002F47F6">
        <w:t>Undertake social marketing research to identify existing attitudes, level of understanding and information gaps around electric vehicles.</w:t>
      </w:r>
    </w:p>
    <w:p w14:paraId="5C80DF44" w14:textId="2349302D" w:rsidR="00BB20D0" w:rsidRPr="002F47F6" w:rsidRDefault="00BB20D0" w:rsidP="00181092">
      <w:pPr>
        <w:pStyle w:val="ListParagraph"/>
        <w:numPr>
          <w:ilvl w:val="0"/>
          <w:numId w:val="37"/>
        </w:numPr>
        <w:spacing w:after="240" w:line="216" w:lineRule="auto"/>
        <w:ind w:left="1843" w:hanging="1559"/>
      </w:pPr>
      <w:r w:rsidRPr="002F47F6">
        <w:t xml:space="preserve">Awareness, information and promotion campaign: based on the findings of research, develop and deploy a campaign to inform all parties who will be involved in electric vehicle uptake, from potential purchasers and users through </w:t>
      </w:r>
      <w:r w:rsidRPr="002F47F6">
        <w:lastRenderedPageBreak/>
        <w:t xml:space="preserve">to service providers. This campaign is to include the development of information and guidance materials and provide the opportunity for people to experience and drive electric vehicles, particularly in areas where the technology is wholly novel. The tourist sector is an obvious target for these </w:t>
      </w:r>
      <w:r w:rsidR="0054193B">
        <w:t>actions</w:t>
      </w:r>
      <w:r w:rsidRPr="002F47F6">
        <w:t>. These initiatives will require at least oversight by an independent authority to provide the necessary quality and robustness to gain the trust of those receiving the information. Ultimately, the goal of this phase is the “normalisation” of electric vehicles.</w:t>
      </w:r>
      <w:r>
        <w:t xml:space="preserve"> Among other methods, i</w:t>
      </w:r>
      <w:r w:rsidRPr="000C769A">
        <w:t>nformation</w:t>
      </w:r>
      <w:r>
        <w:t xml:space="preserve"> and data will be disseminated through a </w:t>
      </w:r>
      <w:r w:rsidRPr="000C769A">
        <w:t>PRDR-PCREEE Knowledge Hub</w:t>
      </w:r>
      <w:r>
        <w:t xml:space="preserve"> with </w:t>
      </w:r>
      <w:r w:rsidRPr="000C769A">
        <w:t xml:space="preserve">SIDS-SIDS cooperation </w:t>
      </w:r>
      <w:r>
        <w:t xml:space="preserve">on EV island issues facilitated </w:t>
      </w:r>
      <w:r w:rsidRPr="000C769A">
        <w:t>through the GN-SEC;</w:t>
      </w:r>
    </w:p>
    <w:p w14:paraId="570227B1" w14:textId="77777777" w:rsidR="00BB20D0" w:rsidRPr="002F47F6" w:rsidRDefault="00BB20D0" w:rsidP="00181092">
      <w:pPr>
        <w:pStyle w:val="ListParagraph"/>
        <w:numPr>
          <w:ilvl w:val="0"/>
          <w:numId w:val="37"/>
        </w:numPr>
        <w:spacing w:after="240" w:line="216" w:lineRule="auto"/>
        <w:ind w:left="1843" w:hanging="1559"/>
      </w:pPr>
      <w:r w:rsidRPr="002F47F6">
        <w:t>Facilitate or co-invest with providers of public charging infrastructure to develop this ahead of demand from EVs.  The extent to which public charging infrastructure is required, and what type of infrastructure (fast or slow) is needed will vary with the circumstances of individual PICTs. For example, where levels of solar PV uptake are high, daytime charging could be encouraged by providing slow public charging where people park during the day.</w:t>
      </w:r>
    </w:p>
    <w:p w14:paraId="08B99209" w14:textId="77777777" w:rsidR="00BB20D0" w:rsidRPr="002F47F6" w:rsidRDefault="00BB20D0" w:rsidP="00181092">
      <w:pPr>
        <w:pStyle w:val="ListParagraph"/>
        <w:numPr>
          <w:ilvl w:val="0"/>
          <w:numId w:val="37"/>
        </w:numPr>
        <w:spacing w:after="240" w:line="216" w:lineRule="auto"/>
        <w:ind w:left="1843" w:hanging="1559"/>
      </w:pPr>
      <w:r w:rsidRPr="002F47F6">
        <w:t>Provide leadership by purchasing appropriate electric vehicles for use in government and local government fleets.</w:t>
      </w:r>
    </w:p>
    <w:p w14:paraId="522429DA" w14:textId="77777777" w:rsidR="00BB20D0" w:rsidRPr="002F47F6" w:rsidRDefault="00BB20D0" w:rsidP="00181092">
      <w:pPr>
        <w:pStyle w:val="ListParagraph"/>
        <w:numPr>
          <w:ilvl w:val="0"/>
          <w:numId w:val="37"/>
        </w:numPr>
        <w:spacing w:after="240" w:line="216" w:lineRule="auto"/>
        <w:ind w:left="1843" w:hanging="1559"/>
      </w:pPr>
      <w:r w:rsidRPr="002F47F6">
        <w:t>Support the development of EV service industries and include consideration of methods to retain capability in the PICTs.</w:t>
      </w:r>
      <w:r>
        <w:t xml:space="preserve"> Included in this, ensure</w:t>
      </w:r>
      <w:r w:rsidRPr="00D05A7E">
        <w:t xml:space="preserve"> that first responders are aware of correct procedures.</w:t>
      </w:r>
    </w:p>
    <w:p w14:paraId="50666E14" w14:textId="77777777" w:rsidR="00BB20D0" w:rsidRPr="002F47F6" w:rsidRDefault="00BB20D0" w:rsidP="00181092">
      <w:pPr>
        <w:pStyle w:val="ListParagraph"/>
        <w:numPr>
          <w:ilvl w:val="0"/>
          <w:numId w:val="37"/>
        </w:numPr>
        <w:spacing w:after="240" w:line="216" w:lineRule="auto"/>
        <w:ind w:left="1843" w:hanging="1559"/>
      </w:pPr>
      <w:r w:rsidRPr="002F47F6">
        <w:t xml:space="preserve">Support inspection of existing electrical supply circuits (for example, socket outlets that will be used at home and at work) before they are used for charging electric vehicles. </w:t>
      </w:r>
    </w:p>
    <w:p w14:paraId="0499E5F6" w14:textId="77777777" w:rsidR="00BB20D0" w:rsidRPr="002F47F6" w:rsidRDefault="00BB20D0" w:rsidP="00181092">
      <w:pPr>
        <w:pStyle w:val="ListParagraph"/>
        <w:numPr>
          <w:ilvl w:val="0"/>
          <w:numId w:val="37"/>
        </w:numPr>
        <w:spacing w:after="240" w:line="216" w:lineRule="auto"/>
        <w:ind w:left="1843" w:hanging="1559"/>
      </w:pPr>
      <w:r w:rsidRPr="002F47F6">
        <w:t>Support inspection of charging cables supplied with used EV passenger car imports to ensure they are compatible with the local electricity network (noting that in Japan, charging cables are typically designed to operate at the local residential electric</w:t>
      </w:r>
      <w:r>
        <w:t>al</w:t>
      </w:r>
      <w:r w:rsidRPr="002F47F6">
        <w:t xml:space="preserve"> supply of 110V, whereas residential electric</w:t>
      </w:r>
      <w:r>
        <w:t>al</w:t>
      </w:r>
      <w:r w:rsidRPr="002F47F6">
        <w:t xml:space="preserve"> supply in many PICTs operate at </w:t>
      </w:r>
      <w:r>
        <w:t xml:space="preserve">the </w:t>
      </w:r>
      <w:r w:rsidRPr="002F47F6">
        <w:t xml:space="preserve">higher 220-240V, and </w:t>
      </w:r>
      <w:r>
        <w:t>an influx</w:t>
      </w:r>
      <w:r w:rsidRPr="002F47F6">
        <w:t xml:space="preserve"> of used EVs from Japan </w:t>
      </w:r>
      <w:r>
        <w:t>will</w:t>
      </w:r>
      <w:r w:rsidRPr="002F47F6">
        <w:t xml:space="preserve"> potential</w:t>
      </w:r>
      <w:r>
        <w:t>ly</w:t>
      </w:r>
      <w:r w:rsidRPr="002F47F6">
        <w:t xml:space="preserve"> introduce chargers that are not approved for use in PICTs).  </w:t>
      </w:r>
    </w:p>
    <w:p w14:paraId="1F17C90A" w14:textId="77777777" w:rsidR="00BB20D0" w:rsidRPr="002F47F6" w:rsidRDefault="00BB20D0" w:rsidP="00181092">
      <w:pPr>
        <w:pStyle w:val="ListParagraph"/>
        <w:numPr>
          <w:ilvl w:val="0"/>
          <w:numId w:val="37"/>
        </w:numPr>
        <w:spacing w:after="240" w:line="216" w:lineRule="auto"/>
        <w:ind w:left="1843" w:hanging="1559"/>
      </w:pPr>
      <w:r w:rsidRPr="002F47F6">
        <w:t xml:space="preserve">Require new buildings with parking facilities to be “EV-ready” by ensuring </w:t>
      </w:r>
      <w:proofErr w:type="gramStart"/>
      <w:r w:rsidRPr="002F47F6">
        <w:t>sufficient</w:t>
      </w:r>
      <w:proofErr w:type="gramEnd"/>
      <w:r w:rsidRPr="002F47F6">
        <w:t xml:space="preserve"> capacity at switchboards and easy routes for cabling. </w:t>
      </w:r>
    </w:p>
    <w:p w14:paraId="6E8840B9" w14:textId="77777777" w:rsidR="00BB20D0" w:rsidRPr="002F47F6" w:rsidRDefault="00BB20D0" w:rsidP="00181092">
      <w:pPr>
        <w:pStyle w:val="ListParagraph"/>
        <w:numPr>
          <w:ilvl w:val="0"/>
          <w:numId w:val="37"/>
        </w:numPr>
        <w:spacing w:after="240" w:line="216" w:lineRule="auto"/>
        <w:ind w:left="1843" w:hanging="1559"/>
      </w:pPr>
      <w:r w:rsidRPr="002F47F6">
        <w:t xml:space="preserve">Ensure appropriate plans are in place for the retirement of EVs and associated componentry, including maintaining a watching brief on global developments concerning tracking the ownership of propulsion batteries, their repurposing and recycling.   </w:t>
      </w:r>
    </w:p>
    <w:p w14:paraId="51E98229" w14:textId="77777777" w:rsidR="00F809BC" w:rsidRPr="002F47F6" w:rsidRDefault="00F809BC" w:rsidP="00F809BC">
      <w:pPr>
        <w:spacing w:before="240" w:after="120" w:line="216" w:lineRule="auto"/>
        <w:rPr>
          <w:b/>
        </w:rPr>
      </w:pPr>
      <w:r w:rsidRPr="002F47F6">
        <w:rPr>
          <w:b/>
        </w:rPr>
        <w:t xml:space="preserve">Low Voltage E-Mobility  </w:t>
      </w:r>
    </w:p>
    <w:p w14:paraId="06335223" w14:textId="77777777" w:rsidR="00F809BC" w:rsidRPr="002F47F6" w:rsidRDefault="00F809BC" w:rsidP="00181092">
      <w:pPr>
        <w:pStyle w:val="ListParagraph"/>
        <w:numPr>
          <w:ilvl w:val="0"/>
          <w:numId w:val="37"/>
        </w:numPr>
        <w:spacing w:after="240" w:line="216" w:lineRule="auto"/>
        <w:ind w:left="1843" w:hanging="1559"/>
      </w:pPr>
      <w:r w:rsidRPr="002F47F6">
        <w:t>Develop and introduce standardisation measures, ranging from guidelines through mandatory standards, including minimum performance specifications and/or standards aimed at making e-mobility easier to access, lower cost and more convenient; to ensure product quality and reliability; and avoid incompatibility issues leading to product failure.</w:t>
      </w:r>
    </w:p>
    <w:p w14:paraId="79E2CA20" w14:textId="77777777" w:rsidR="00F809BC" w:rsidRPr="002F47F6" w:rsidRDefault="00F809BC" w:rsidP="00181092">
      <w:pPr>
        <w:pStyle w:val="ListParagraph"/>
        <w:numPr>
          <w:ilvl w:val="0"/>
          <w:numId w:val="37"/>
        </w:numPr>
        <w:spacing w:after="240" w:line="216" w:lineRule="auto"/>
        <w:ind w:left="1843" w:hanging="1559"/>
      </w:pPr>
      <w:r w:rsidRPr="002F47F6">
        <w:t>Encourage the industry to provide quality, well-supported product through promotion of suppliers and product, possibly including the use of quality marks and customer feedback forums.</w:t>
      </w:r>
    </w:p>
    <w:p w14:paraId="0C711D6C" w14:textId="77777777" w:rsidR="00F809BC" w:rsidRPr="002F47F6" w:rsidRDefault="00F809BC" w:rsidP="00181092">
      <w:pPr>
        <w:pStyle w:val="ListParagraph"/>
        <w:numPr>
          <w:ilvl w:val="0"/>
          <w:numId w:val="37"/>
        </w:numPr>
        <w:spacing w:after="240" w:line="216" w:lineRule="auto"/>
        <w:ind w:left="1843" w:hanging="1559"/>
      </w:pPr>
      <w:r w:rsidRPr="002F47F6">
        <w:t xml:space="preserve">Develop and introduce technical courses on low-voltage technologies (these also supporting greater understanding of mainstream EV technologies). </w:t>
      </w:r>
    </w:p>
    <w:p w14:paraId="6A826C02" w14:textId="77777777" w:rsidR="00F809BC" w:rsidRPr="002F47F6" w:rsidRDefault="00F809BC" w:rsidP="00181092">
      <w:pPr>
        <w:pStyle w:val="ListParagraph"/>
        <w:numPr>
          <w:ilvl w:val="0"/>
          <w:numId w:val="37"/>
        </w:numPr>
        <w:spacing w:after="240" w:line="216" w:lineRule="auto"/>
        <w:ind w:left="1843" w:hanging="1559"/>
      </w:pPr>
      <w:r w:rsidRPr="002F47F6">
        <w:t>Provide guidance and/or develop regulations to manage the maximum speed/power of low voltage e-mobility devices that can be imported, and which types of roading/footpaths/cycleways they can operate on, to manage road safety.</w:t>
      </w:r>
    </w:p>
    <w:p w14:paraId="28767646" w14:textId="77777777" w:rsidR="00F809BC" w:rsidRPr="002F47F6" w:rsidRDefault="00F809BC" w:rsidP="00181092">
      <w:pPr>
        <w:pStyle w:val="ListParagraph"/>
        <w:numPr>
          <w:ilvl w:val="0"/>
          <w:numId w:val="37"/>
        </w:numPr>
        <w:spacing w:after="240" w:line="216" w:lineRule="auto"/>
        <w:ind w:left="1843" w:hanging="1559"/>
      </w:pPr>
      <w:r w:rsidRPr="002F47F6">
        <w:t>Provide guidance on hiring/buying and using low voltage e-mobility options to promote fit-for-purpose user selection and effective use of e-mobility options</w:t>
      </w:r>
    </w:p>
    <w:p w14:paraId="63A42455" w14:textId="77777777" w:rsidR="00F809BC" w:rsidRPr="002F47F6" w:rsidRDefault="00F809BC" w:rsidP="00181092">
      <w:pPr>
        <w:pStyle w:val="ListParagraph"/>
        <w:numPr>
          <w:ilvl w:val="0"/>
          <w:numId w:val="37"/>
        </w:numPr>
        <w:spacing w:after="240" w:line="216" w:lineRule="auto"/>
        <w:ind w:left="1843" w:hanging="1559"/>
      </w:pPr>
      <w:r w:rsidRPr="002F47F6">
        <w:t xml:space="preserve">Demonstrate leadership by providing facilities where government and local government staff can park and charge their e-mobility </w:t>
      </w:r>
      <w:proofErr w:type="gramStart"/>
      <w:r w:rsidRPr="002F47F6">
        <w:t>devices, and</w:t>
      </w:r>
      <w:proofErr w:type="gramEnd"/>
      <w:r w:rsidRPr="002F47F6">
        <w:t xml:space="preserve"> promote these to staff.</w:t>
      </w:r>
      <w:r w:rsidR="00326961" w:rsidRPr="002F47F6">
        <w:t xml:space="preserve"> Also provide public fac</w:t>
      </w:r>
      <w:r w:rsidR="00AB2584">
        <w:t>il</w:t>
      </w:r>
      <w:r w:rsidR="00326961" w:rsidRPr="002F47F6">
        <w:t xml:space="preserve">ities. </w:t>
      </w:r>
    </w:p>
    <w:p w14:paraId="2B12C6F8" w14:textId="77777777" w:rsidR="00F809BC" w:rsidRPr="002F47F6" w:rsidRDefault="00F809BC" w:rsidP="00F809BC">
      <w:pPr>
        <w:spacing w:after="120" w:line="216" w:lineRule="auto"/>
        <w:rPr>
          <w:b/>
        </w:rPr>
      </w:pPr>
      <w:proofErr w:type="gramStart"/>
      <w:r w:rsidRPr="002F47F6">
        <w:rPr>
          <w:b/>
        </w:rPr>
        <w:t>Other</w:t>
      </w:r>
      <w:proofErr w:type="gramEnd"/>
      <w:r w:rsidRPr="002F47F6">
        <w:rPr>
          <w:b/>
        </w:rPr>
        <w:t xml:space="preserve"> Electric Vehicle Uptake:</w:t>
      </w:r>
    </w:p>
    <w:p w14:paraId="0A67D5C3" w14:textId="77777777" w:rsidR="00F809BC" w:rsidRPr="002F47F6" w:rsidRDefault="00F809BC" w:rsidP="00181092">
      <w:pPr>
        <w:pStyle w:val="ListParagraph"/>
        <w:numPr>
          <w:ilvl w:val="0"/>
          <w:numId w:val="37"/>
        </w:numPr>
        <w:spacing w:after="240" w:line="216" w:lineRule="auto"/>
        <w:ind w:left="1843" w:hanging="1559"/>
      </w:pPr>
      <w:r w:rsidRPr="002F47F6">
        <w:lastRenderedPageBreak/>
        <w:t xml:space="preserve">Support PICT-relevant, heavy electric vehicle demonstrations, but carefully consider target applications (should be scalable) and timing (a delay of 2-3 years may not have a significant effect on the five-year outcome for </w:t>
      </w:r>
      <w:proofErr w:type="gramStart"/>
      <w:r w:rsidRPr="002F47F6">
        <w:t>PICTs, but</w:t>
      </w:r>
      <w:proofErr w:type="gramEnd"/>
      <w:r w:rsidRPr="002F47F6">
        <w:t xml:space="preserve"> would carry far less risk and require less financial support).</w:t>
      </w:r>
    </w:p>
    <w:p w14:paraId="4C80601F" w14:textId="77777777" w:rsidR="00F809BC" w:rsidRPr="002F47F6" w:rsidRDefault="00F809BC" w:rsidP="00181092">
      <w:pPr>
        <w:pStyle w:val="ListParagraph"/>
        <w:numPr>
          <w:ilvl w:val="0"/>
          <w:numId w:val="37"/>
        </w:numPr>
        <w:spacing w:after="240" w:line="216" w:lineRule="auto"/>
        <w:ind w:left="1843" w:hanging="1559"/>
      </w:pPr>
      <w:r w:rsidRPr="002F47F6">
        <w:t>Consider amalgamating various heavy vehicle projects or otherwise to share set-up costs.</w:t>
      </w:r>
    </w:p>
    <w:p w14:paraId="73F46DA2" w14:textId="77777777" w:rsidR="00F809BC" w:rsidRPr="002F47F6" w:rsidRDefault="00F809BC" w:rsidP="00181092">
      <w:pPr>
        <w:pStyle w:val="ListParagraph"/>
        <w:numPr>
          <w:ilvl w:val="0"/>
          <w:numId w:val="37"/>
        </w:numPr>
        <w:spacing w:after="240" w:line="216" w:lineRule="auto"/>
        <w:ind w:left="1843" w:hanging="1559"/>
      </w:pPr>
      <w:r w:rsidRPr="002F47F6">
        <w:t>Provide leadership by demonstrating appropriate heavy electric vehicles where government or local government operates heavy vehicles.</w:t>
      </w:r>
    </w:p>
    <w:p w14:paraId="031EE108" w14:textId="77777777" w:rsidR="00F809BC" w:rsidRPr="002F47F6" w:rsidRDefault="00F809BC" w:rsidP="00181092">
      <w:pPr>
        <w:pStyle w:val="ListParagraph"/>
        <w:numPr>
          <w:ilvl w:val="0"/>
          <w:numId w:val="37"/>
        </w:numPr>
        <w:spacing w:after="240" w:line="216" w:lineRule="auto"/>
        <w:ind w:left="1843" w:hanging="1559"/>
      </w:pPr>
      <w:r w:rsidRPr="002F47F6">
        <w:t>Work with tourism operators and national park authorities to identify opportunities to demonstrate electric marine vessels, particularly in environmentally sensitive areas, and support such demonstration projects.</w:t>
      </w:r>
      <w:r w:rsidR="002B71A4" w:rsidRPr="002F47F6">
        <w:t xml:space="preserve"> Also consider the (low voltage) electrification of small fishing vessels.</w:t>
      </w:r>
    </w:p>
    <w:p w14:paraId="52ABA913" w14:textId="77777777" w:rsidR="00F809BC" w:rsidRPr="002F47F6" w:rsidRDefault="00F809BC" w:rsidP="00F809BC">
      <w:pPr>
        <w:spacing w:before="240" w:after="120" w:line="216" w:lineRule="auto"/>
        <w:rPr>
          <w:b/>
        </w:rPr>
      </w:pPr>
      <w:r w:rsidRPr="002F47F6">
        <w:rPr>
          <w:b/>
        </w:rPr>
        <w:t>TOU Pricing:</w:t>
      </w:r>
    </w:p>
    <w:p w14:paraId="1E822E73" w14:textId="77777777" w:rsidR="00F809BC" w:rsidRPr="002F47F6" w:rsidRDefault="00F809BC" w:rsidP="00181092">
      <w:pPr>
        <w:pStyle w:val="ListParagraph"/>
        <w:numPr>
          <w:ilvl w:val="0"/>
          <w:numId w:val="37"/>
        </w:numPr>
        <w:spacing w:after="240" w:line="216" w:lineRule="auto"/>
        <w:ind w:left="1843" w:hanging="1559"/>
      </w:pPr>
      <w:r w:rsidRPr="002F47F6">
        <w:t>Facilitate the introduction of TOU pricing, including supporting techno-economic assessments of TOU pricing use for grid supply on PICT main islands, a workshop on TOU pricing delivered by overseas- and PICT-based experts, and follow-up support to electricity supply companies that are expected to benefit from deploying TOU pricing systems.</w:t>
      </w:r>
    </w:p>
    <w:p w14:paraId="033CB584" w14:textId="77777777" w:rsidR="00F809BC" w:rsidRPr="002F47F6" w:rsidRDefault="00F809BC" w:rsidP="00181092">
      <w:pPr>
        <w:pStyle w:val="ListParagraph"/>
        <w:numPr>
          <w:ilvl w:val="0"/>
          <w:numId w:val="37"/>
        </w:numPr>
        <w:spacing w:after="240" w:line="216" w:lineRule="auto"/>
        <w:ind w:left="1843" w:hanging="1559"/>
      </w:pPr>
      <w:r w:rsidRPr="002F47F6">
        <w:t>Consider amalgamating orders for TOU equipment and services to attract more favourable responses to tenders.</w:t>
      </w:r>
    </w:p>
    <w:p w14:paraId="4B0C4439" w14:textId="77777777" w:rsidR="00F809BC" w:rsidRPr="002F47F6" w:rsidRDefault="00F809BC" w:rsidP="00181092">
      <w:pPr>
        <w:pStyle w:val="ListParagraph"/>
        <w:numPr>
          <w:ilvl w:val="0"/>
          <w:numId w:val="37"/>
        </w:numPr>
        <w:spacing w:after="240" w:line="216" w:lineRule="auto"/>
        <w:ind w:left="1843" w:hanging="1559"/>
      </w:pPr>
      <w:r w:rsidRPr="002F47F6">
        <w:t xml:space="preserve">For locations enabled through the deployment of TOU- or smart-meters, support the development and deployment of awareness campaigns to electricity consumers so that they are aware of how best to use TOU charging. </w:t>
      </w:r>
    </w:p>
    <w:p w14:paraId="30A20C30" w14:textId="77777777" w:rsidR="00F809BC" w:rsidRPr="002F47F6" w:rsidRDefault="00F809BC" w:rsidP="00181092">
      <w:pPr>
        <w:pStyle w:val="ListParagraph"/>
        <w:numPr>
          <w:ilvl w:val="0"/>
          <w:numId w:val="37"/>
        </w:numPr>
        <w:spacing w:after="240" w:line="216" w:lineRule="auto"/>
        <w:ind w:left="1843" w:hanging="1559"/>
      </w:pPr>
      <w:r w:rsidRPr="002F47F6">
        <w:t>Provide guidance on monitoring customer response and use of data to manage pricing and the need for ongoing customer education.</w:t>
      </w:r>
    </w:p>
    <w:p w14:paraId="53BA50DF" w14:textId="77777777" w:rsidR="00F809BC" w:rsidRPr="002F47F6" w:rsidRDefault="00F809BC" w:rsidP="00181092">
      <w:pPr>
        <w:pStyle w:val="ListParagraph"/>
        <w:numPr>
          <w:ilvl w:val="0"/>
          <w:numId w:val="37"/>
        </w:numPr>
        <w:spacing w:after="240" w:line="216" w:lineRule="auto"/>
        <w:ind w:left="1843" w:hanging="1559"/>
      </w:pPr>
      <w:r w:rsidRPr="002F47F6">
        <w:t>Provide leadership by government and local government being early adopters of smart meters and time of use pricing in its facilities as this becomes available.</w:t>
      </w:r>
    </w:p>
    <w:p w14:paraId="2DBD6722" w14:textId="77777777" w:rsidR="00F809BC" w:rsidRPr="002F47F6" w:rsidRDefault="00F809BC" w:rsidP="00F809BC">
      <w:pPr>
        <w:spacing w:before="240" w:after="120" w:line="216" w:lineRule="auto"/>
        <w:rPr>
          <w:b/>
        </w:rPr>
      </w:pPr>
      <w:r w:rsidRPr="002F47F6">
        <w:rPr>
          <w:b/>
        </w:rPr>
        <w:t xml:space="preserve">Low-Voltage Power Supply: </w:t>
      </w:r>
    </w:p>
    <w:p w14:paraId="562A6150" w14:textId="77777777" w:rsidR="00F809BC" w:rsidRPr="002F47F6" w:rsidRDefault="00F809BC" w:rsidP="00181092">
      <w:pPr>
        <w:pStyle w:val="ListParagraph"/>
        <w:numPr>
          <w:ilvl w:val="0"/>
          <w:numId w:val="37"/>
        </w:numPr>
        <w:spacing w:after="240" w:line="216" w:lineRule="auto"/>
        <w:ind w:left="1843" w:hanging="1559"/>
      </w:pPr>
      <w:r w:rsidRPr="002F47F6">
        <w:t xml:space="preserve">Develop guidelines for system design, component specification, installation and use of low-voltage electricity generation for various PICT scenarios. </w:t>
      </w:r>
    </w:p>
    <w:p w14:paraId="32E40B5C" w14:textId="77777777" w:rsidR="00F809BC" w:rsidRPr="002F47F6" w:rsidRDefault="00F809BC" w:rsidP="00181092">
      <w:pPr>
        <w:pStyle w:val="ListParagraph"/>
        <w:numPr>
          <w:ilvl w:val="0"/>
          <w:numId w:val="37"/>
        </w:numPr>
        <w:spacing w:after="240" w:line="216" w:lineRule="auto"/>
        <w:ind w:left="1843" w:hanging="1559"/>
      </w:pPr>
      <w:r w:rsidRPr="002F47F6">
        <w:t xml:space="preserve">Develop voluntary standards and support service </w:t>
      </w:r>
      <w:proofErr w:type="gramStart"/>
      <w:r w:rsidRPr="002F47F6">
        <w:t>requirements, and</w:t>
      </w:r>
      <w:proofErr w:type="gramEnd"/>
      <w:r w:rsidRPr="002F47F6">
        <w:t xml:space="preserve"> encourage compliance with them. Options for the latter include a compliance- and/or a customer feedback-rating system, and support and advertising provided where the equipment, supplier and/or service providers meet minimum requirements.</w:t>
      </w:r>
    </w:p>
    <w:p w14:paraId="7194A555" w14:textId="77777777" w:rsidR="00F809BC" w:rsidRPr="002F47F6" w:rsidRDefault="00F809BC" w:rsidP="00F809BC">
      <w:pPr>
        <w:spacing w:after="120" w:line="216" w:lineRule="auto"/>
        <w:rPr>
          <w:b/>
        </w:rPr>
      </w:pPr>
      <w:r w:rsidRPr="002F47F6">
        <w:rPr>
          <w:b/>
        </w:rPr>
        <w:t>V2H and on-site managed charging:</w:t>
      </w:r>
    </w:p>
    <w:p w14:paraId="6E9790B5" w14:textId="77777777" w:rsidR="00F809BC" w:rsidRPr="002F47F6" w:rsidRDefault="00F809BC" w:rsidP="00181092">
      <w:pPr>
        <w:pStyle w:val="ListParagraph"/>
        <w:numPr>
          <w:ilvl w:val="0"/>
          <w:numId w:val="37"/>
        </w:numPr>
        <w:spacing w:after="240" w:line="216" w:lineRule="auto"/>
        <w:ind w:left="1843" w:hanging="1559"/>
      </w:pPr>
      <w:r w:rsidRPr="002F47F6">
        <w:t xml:space="preserve">Develop guidelines for the use of V2H and on-site managed charging that includes descriptions of case-study systems and the performance achieved with these (which will thus require a number of </w:t>
      </w:r>
      <w:proofErr w:type="gramStart"/>
      <w:r w:rsidRPr="002F47F6">
        <w:t>demonstration</w:t>
      </w:r>
      <w:proofErr w:type="gramEnd"/>
      <w:r w:rsidRPr="002F47F6">
        <w:t xml:space="preserve"> V2H and on-site managed charging projects to be undertaken). Also include the obligation that installers must meet wiring regulations and any post-works inspection requirements.</w:t>
      </w:r>
    </w:p>
    <w:p w14:paraId="47976012" w14:textId="77777777" w:rsidR="00F809BC" w:rsidRPr="002F47F6" w:rsidRDefault="00F809BC" w:rsidP="00181092">
      <w:pPr>
        <w:pStyle w:val="ListParagraph"/>
        <w:numPr>
          <w:ilvl w:val="0"/>
          <w:numId w:val="37"/>
        </w:numPr>
        <w:spacing w:after="240" w:line="216" w:lineRule="auto"/>
        <w:ind w:left="1843" w:hanging="1559"/>
      </w:pPr>
      <w:r w:rsidRPr="002F47F6">
        <w:t>Develop voluntary standards for minimum specifications and encourage the use of them through advertising equipment or service providers that meet the standards and/or through use of quality marks for compliant product and service providers.</w:t>
      </w:r>
    </w:p>
    <w:p w14:paraId="154D772C" w14:textId="77777777" w:rsidR="00F809BC" w:rsidRPr="000C48B8" w:rsidRDefault="00F809BC" w:rsidP="00181092">
      <w:pPr>
        <w:pStyle w:val="ListParagraph"/>
        <w:numPr>
          <w:ilvl w:val="0"/>
          <w:numId w:val="37"/>
        </w:numPr>
        <w:spacing w:after="240" w:line="216" w:lineRule="auto"/>
        <w:ind w:left="1843" w:hanging="1559"/>
      </w:pPr>
      <w:r w:rsidRPr="002F47F6">
        <w:t xml:space="preserve">Show leadership by deploying on-site managed charging where there are government and local government fleets with electric vehicles. </w:t>
      </w:r>
    </w:p>
    <w:p w14:paraId="57E18449" w14:textId="77777777" w:rsidR="00F809BC" w:rsidRPr="000C48B8" w:rsidRDefault="00F809BC" w:rsidP="00F809BC">
      <w:pPr>
        <w:spacing w:after="120" w:line="216" w:lineRule="auto"/>
      </w:pPr>
      <w:r w:rsidRPr="002F47F6">
        <w:rPr>
          <w:b/>
        </w:rPr>
        <w:t>V2G and grid-scale managed charging:</w:t>
      </w:r>
    </w:p>
    <w:p w14:paraId="1098153D" w14:textId="6DA8C8F2" w:rsidR="00903CAB" w:rsidRDefault="00F809BC" w:rsidP="00903CAB">
      <w:pPr>
        <w:pStyle w:val="ListParagraph"/>
        <w:numPr>
          <w:ilvl w:val="0"/>
          <w:numId w:val="37"/>
        </w:numPr>
        <w:spacing w:after="240" w:line="216" w:lineRule="auto"/>
        <w:ind w:left="1843" w:hanging="1559"/>
      </w:pPr>
      <w:r w:rsidRPr="002F47F6">
        <w:t xml:space="preserve">Keep watching briefs on developments with grid-scale managed charging and V2G technologies, with the possibility to upgrade this status should developments in these sectors get to the stage where the technologies might be applicable to the PICT environment. </w:t>
      </w:r>
    </w:p>
    <w:p w14:paraId="31519288" w14:textId="77777777" w:rsidR="00903CAB" w:rsidRDefault="00903CAB" w:rsidP="00903CAB">
      <w:pPr>
        <w:jc w:val="center"/>
      </w:pPr>
      <w:r>
        <w:br w:type="page"/>
      </w:r>
    </w:p>
    <w:p w14:paraId="4F21DAA0" w14:textId="2B6866F5" w:rsidR="00903CAB" w:rsidRPr="000C13D7" w:rsidRDefault="00903CAB" w:rsidP="00903CAB">
      <w:pPr>
        <w:pStyle w:val="Heading2"/>
        <w:numPr>
          <w:ilvl w:val="0"/>
          <w:numId w:val="0"/>
        </w:numPr>
        <w:spacing w:after="120"/>
        <w:jc w:val="center"/>
        <w:rPr>
          <w:rFonts w:asciiTheme="minorHAnsi" w:hAnsiTheme="minorHAnsi" w:cstheme="minorHAnsi"/>
          <w:b/>
          <w:color w:val="1F3864" w:themeColor="accent1" w:themeShade="80"/>
          <w:sz w:val="22"/>
          <w:szCs w:val="32"/>
        </w:rPr>
      </w:pPr>
      <w:bookmarkStart w:id="46" w:name="_Toc38034058"/>
      <w:r>
        <w:rPr>
          <w:rFonts w:asciiTheme="minorHAnsi" w:hAnsiTheme="minorHAnsi" w:cstheme="minorHAnsi"/>
          <w:b/>
          <w:color w:val="1F3864" w:themeColor="accent1" w:themeShade="80"/>
          <w:sz w:val="22"/>
        </w:rPr>
        <w:lastRenderedPageBreak/>
        <w:t xml:space="preserve">Appendix D: </w:t>
      </w:r>
      <w:r w:rsidRPr="00903CAB">
        <w:rPr>
          <w:rFonts w:asciiTheme="minorHAnsi" w:hAnsiTheme="minorHAnsi" w:cstheme="minorHAnsi"/>
          <w:b/>
          <w:color w:val="1F3864" w:themeColor="accent1" w:themeShade="80"/>
          <w:sz w:val="22"/>
        </w:rPr>
        <w:t>International Electric Vehicle Coordination Initiatives</w:t>
      </w:r>
      <w:bookmarkEnd w:id="46"/>
    </w:p>
    <w:p w14:paraId="5A11885A" w14:textId="216F307E" w:rsidR="00EC2E2D" w:rsidRPr="002F47F6" w:rsidRDefault="00903CAB" w:rsidP="00194394">
      <w:pPr>
        <w:jc w:val="center"/>
      </w:pPr>
      <w:r w:rsidRPr="00903CAB">
        <w:rPr>
          <w:noProof/>
          <w:lang w:val="pt-BR" w:eastAsia="pt-BR"/>
        </w:rPr>
        <w:drawing>
          <wp:inline distT="0" distB="0" distL="0" distR="0" wp14:anchorId="75A0F300" wp14:editId="021960E6">
            <wp:extent cx="7968085" cy="3428001"/>
            <wp:effectExtent l="317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6607"/>
                    <a:stretch/>
                  </pic:blipFill>
                  <pic:spPr bwMode="auto">
                    <a:xfrm rot="16200000">
                      <a:off x="0" y="0"/>
                      <a:ext cx="7990145" cy="3437492"/>
                    </a:xfrm>
                    <a:prstGeom prst="rect">
                      <a:avLst/>
                    </a:prstGeom>
                    <a:noFill/>
                    <a:ln>
                      <a:noFill/>
                    </a:ln>
                    <a:extLst>
                      <a:ext uri="{53640926-AAD7-44D8-BBD7-CCE9431645EC}">
                        <a14:shadowObscured xmlns:a14="http://schemas.microsoft.com/office/drawing/2010/main"/>
                      </a:ext>
                    </a:extLst>
                  </pic:spPr>
                </pic:pic>
              </a:graphicData>
            </a:graphic>
          </wp:inline>
        </w:drawing>
      </w:r>
    </w:p>
    <w:sectPr w:rsidR="00EC2E2D" w:rsidRPr="002F47F6" w:rsidSect="002F47F6">
      <w:pgSz w:w="11906" w:h="16838"/>
      <w:pgMar w:top="1134" w:right="1416" w:bottom="992"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A3369" w14:textId="77777777" w:rsidR="00134965" w:rsidRDefault="00134965" w:rsidP="005965C8">
      <w:pPr>
        <w:spacing w:after="0" w:line="240" w:lineRule="auto"/>
      </w:pPr>
      <w:r>
        <w:separator/>
      </w:r>
    </w:p>
  </w:endnote>
  <w:endnote w:type="continuationSeparator" w:id="0">
    <w:p w14:paraId="02A00793" w14:textId="77777777" w:rsidR="00134965" w:rsidRDefault="00134965" w:rsidP="0059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0"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C00D0" w14:textId="35134B29" w:rsidR="00FB7EDE" w:rsidRPr="00181092" w:rsidRDefault="00134965" w:rsidP="00181092">
    <w:pPr>
      <w:pStyle w:val="Footer"/>
      <w:tabs>
        <w:tab w:val="clear" w:pos="4513"/>
        <w:tab w:val="clear" w:pos="9026"/>
        <w:tab w:val="left" w:pos="5391"/>
      </w:tabs>
      <w:jc w:val="center"/>
      <w:rPr>
        <w:rFonts w:asciiTheme="majorHAnsi" w:hAnsiTheme="majorHAnsi" w:cstheme="majorHAnsi"/>
        <w:noProof/>
        <w:sz w:val="18"/>
        <w:szCs w:val="18"/>
      </w:rPr>
    </w:pPr>
    <w:sdt>
      <w:sdtPr>
        <w:rPr>
          <w:rFonts w:asciiTheme="majorHAnsi" w:hAnsiTheme="majorHAnsi" w:cstheme="majorHAnsi"/>
          <w:sz w:val="18"/>
          <w:szCs w:val="18"/>
        </w:rPr>
        <w:id w:val="936410870"/>
        <w:docPartObj>
          <w:docPartGallery w:val="Page Numbers (Bottom of Page)"/>
          <w:docPartUnique/>
        </w:docPartObj>
      </w:sdtPr>
      <w:sdtEndPr>
        <w:rPr>
          <w:noProof/>
        </w:rPr>
      </w:sdtEndPr>
      <w:sdtContent>
        <w:sdt>
          <w:sdtPr>
            <w:rPr>
              <w:rFonts w:cstheme="minorHAnsi"/>
              <w:sz w:val="18"/>
              <w:szCs w:val="18"/>
            </w:rPr>
            <w:id w:val="-939372191"/>
            <w:docPartObj>
              <w:docPartGallery w:val="Page Numbers (Bottom of Page)"/>
              <w:docPartUnique/>
            </w:docPartObj>
          </w:sdtPr>
          <w:sdtEndPr/>
          <w:sdtContent>
            <w:r w:rsidR="00AE1984">
              <w:rPr>
                <w:rFonts w:cstheme="minorHAnsi"/>
                <w:sz w:val="18"/>
                <w:szCs w:val="18"/>
              </w:rPr>
              <w:br/>
            </w:r>
            <w:r w:rsidR="00FB7EDE" w:rsidRPr="00181092">
              <w:rPr>
                <w:sz w:val="18"/>
                <w:szCs w:val="18"/>
              </w:rPr>
              <w:t xml:space="preserve"> </w:t>
            </w:r>
            <w:r w:rsidR="00FB7EDE" w:rsidRPr="00DA515C">
              <w:rPr>
                <w:rFonts w:cs="Arial"/>
                <w:sz w:val="18"/>
                <w:szCs w:val="18"/>
                <w:lang w:val="pt-BR"/>
              </w:rPr>
              <w:fldChar w:fldCharType="begin"/>
            </w:r>
            <w:r w:rsidR="00FB7EDE" w:rsidRPr="0038098D">
              <w:rPr>
                <w:rFonts w:cs="Arial"/>
                <w:sz w:val="18"/>
                <w:szCs w:val="18"/>
              </w:rPr>
              <w:instrText xml:space="preserve"> PAGE </w:instrText>
            </w:r>
            <w:r w:rsidR="00FB7EDE" w:rsidRPr="00DA515C">
              <w:rPr>
                <w:rFonts w:cs="Arial"/>
                <w:sz w:val="18"/>
                <w:szCs w:val="18"/>
                <w:lang w:val="pt-BR"/>
              </w:rPr>
              <w:fldChar w:fldCharType="separate"/>
            </w:r>
            <w:r w:rsidR="006765FC">
              <w:rPr>
                <w:rFonts w:cs="Arial"/>
                <w:noProof/>
                <w:sz w:val="18"/>
                <w:szCs w:val="18"/>
              </w:rPr>
              <w:t>1</w:t>
            </w:r>
            <w:r w:rsidR="00FB7EDE" w:rsidRPr="00DA515C">
              <w:rPr>
                <w:rFonts w:cs="Arial"/>
                <w:sz w:val="18"/>
                <w:szCs w:val="18"/>
                <w:lang w:val="pt-BR"/>
              </w:rPr>
              <w:fldChar w:fldCharType="end"/>
            </w:r>
            <w:r w:rsidR="00FB7EDE" w:rsidRPr="00DA515C">
              <w:rPr>
                <w:rFonts w:cs="Arial"/>
                <w:sz w:val="18"/>
                <w:szCs w:val="18"/>
              </w:rPr>
              <w:t>/</w:t>
            </w:r>
            <w:r w:rsidR="00FB7EDE" w:rsidRPr="00DA515C">
              <w:rPr>
                <w:rFonts w:cs="Arial"/>
                <w:sz w:val="18"/>
                <w:szCs w:val="18"/>
                <w:lang w:val="pt-BR"/>
              </w:rPr>
              <w:fldChar w:fldCharType="begin"/>
            </w:r>
            <w:r w:rsidR="00FB7EDE" w:rsidRPr="0038098D">
              <w:rPr>
                <w:rFonts w:cs="Arial"/>
                <w:sz w:val="18"/>
                <w:szCs w:val="18"/>
              </w:rPr>
              <w:instrText xml:space="preserve"> NUMPAGES  </w:instrText>
            </w:r>
            <w:r w:rsidR="00FB7EDE" w:rsidRPr="00DA515C">
              <w:rPr>
                <w:rFonts w:cs="Arial"/>
                <w:sz w:val="18"/>
                <w:szCs w:val="18"/>
                <w:lang w:val="pt-BR"/>
              </w:rPr>
              <w:fldChar w:fldCharType="separate"/>
            </w:r>
            <w:r w:rsidR="006765FC">
              <w:rPr>
                <w:rFonts w:cs="Arial"/>
                <w:noProof/>
                <w:sz w:val="18"/>
                <w:szCs w:val="18"/>
              </w:rPr>
              <w:t>34</w:t>
            </w:r>
            <w:r w:rsidR="00FB7EDE" w:rsidRPr="00DA515C">
              <w:rPr>
                <w:rFonts w:cs="Arial"/>
                <w:sz w:val="18"/>
                <w:szCs w:val="18"/>
                <w:lang w:val="pt-BR"/>
              </w:rPr>
              <w:fldChar w:fldCharType="end"/>
            </w:r>
          </w:sdtContent>
        </w:sdt>
      </w:sdtContent>
    </w:sdt>
  </w:p>
  <w:p w14:paraId="14FE98D1" w14:textId="77777777" w:rsidR="00FB7EDE" w:rsidRDefault="00FB7EDE" w:rsidP="00181092">
    <w:pPr>
      <w:pStyle w:val="Footer"/>
      <w:tabs>
        <w:tab w:val="clear" w:pos="4513"/>
        <w:tab w:val="clear" w:pos="9026"/>
        <w:tab w:val="left" w:pos="539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A07BF" w14:textId="77777777" w:rsidR="00134965" w:rsidRDefault="00134965" w:rsidP="005965C8">
      <w:pPr>
        <w:spacing w:after="0" w:line="240" w:lineRule="auto"/>
      </w:pPr>
      <w:r>
        <w:separator/>
      </w:r>
    </w:p>
  </w:footnote>
  <w:footnote w:type="continuationSeparator" w:id="0">
    <w:p w14:paraId="058280A2" w14:textId="77777777" w:rsidR="00134965" w:rsidRDefault="00134965" w:rsidP="005965C8">
      <w:pPr>
        <w:spacing w:after="0" w:line="240" w:lineRule="auto"/>
      </w:pPr>
      <w:r>
        <w:continuationSeparator/>
      </w:r>
    </w:p>
  </w:footnote>
  <w:footnote w:id="1">
    <w:p w14:paraId="50B2D724" w14:textId="77777777" w:rsidR="00FB7EDE" w:rsidRPr="00181092" w:rsidRDefault="00FB7EDE" w:rsidP="0057781A">
      <w:pPr>
        <w:pStyle w:val="FootnoteText"/>
        <w:rPr>
          <w:sz w:val="16"/>
          <w:szCs w:val="16"/>
          <w:lang w:val="en-GB"/>
        </w:rPr>
      </w:pPr>
      <w:r w:rsidRPr="00E91FDF">
        <w:rPr>
          <w:rStyle w:val="FootnoteReference"/>
          <w:sz w:val="18"/>
          <w:szCs w:val="18"/>
        </w:rPr>
        <w:footnoteRef/>
      </w:r>
      <w:r w:rsidRPr="00E91FDF">
        <w:rPr>
          <w:sz w:val="18"/>
          <w:szCs w:val="18"/>
        </w:rPr>
        <w:t xml:space="preserve"> </w:t>
      </w:r>
      <w:r w:rsidRPr="00E91FDF">
        <w:rPr>
          <w:sz w:val="18"/>
          <w:szCs w:val="18"/>
          <w:lang w:val="en-GB"/>
        </w:rPr>
        <w:t>www.pcreee.org</w:t>
      </w:r>
    </w:p>
  </w:footnote>
  <w:footnote w:id="2">
    <w:p w14:paraId="3572BB4F" w14:textId="27FF151D" w:rsidR="00FB7EDE" w:rsidRPr="00194394" w:rsidRDefault="00FB7EDE" w:rsidP="00CC5031">
      <w:pPr>
        <w:pStyle w:val="Default"/>
        <w:rPr>
          <w:sz w:val="18"/>
          <w:szCs w:val="18"/>
        </w:rPr>
      </w:pPr>
      <w:r w:rsidRPr="00194394">
        <w:rPr>
          <w:rStyle w:val="FootnoteReference"/>
          <w:sz w:val="18"/>
          <w:szCs w:val="18"/>
        </w:rPr>
        <w:footnoteRef/>
      </w:r>
      <w:r w:rsidRPr="00EF3205">
        <w:t xml:space="preserve"> </w:t>
      </w:r>
      <w:r w:rsidRPr="00194394">
        <w:rPr>
          <w:sz w:val="18"/>
          <w:szCs w:val="18"/>
        </w:rPr>
        <w:t xml:space="preserve">Specifically, the Energy Ministers: </w:t>
      </w:r>
    </w:p>
    <w:p w14:paraId="6A25900D" w14:textId="77777777" w:rsidR="00FB7EDE" w:rsidRPr="00194394" w:rsidRDefault="00FB7EDE" w:rsidP="00194394">
      <w:pPr>
        <w:pStyle w:val="Default"/>
        <w:numPr>
          <w:ilvl w:val="0"/>
          <w:numId w:val="40"/>
        </w:numPr>
        <w:jc w:val="both"/>
        <w:rPr>
          <w:sz w:val="18"/>
          <w:szCs w:val="18"/>
        </w:rPr>
      </w:pPr>
      <w:r w:rsidRPr="00194394">
        <w:rPr>
          <w:sz w:val="18"/>
          <w:szCs w:val="18"/>
        </w:rPr>
        <w:t xml:space="preserve">Requested SPC/PCREEE, UNIDO and SIDS DOCK to develop a regional policy document outlining the short-term and long-term vision of PICTs </w:t>
      </w:r>
      <w:r w:rsidRPr="00194394">
        <w:rPr>
          <w:sz w:val="18"/>
          <w:szCs w:val="18"/>
        </w:rPr>
        <w:t xml:space="preserve">with regard to integrated e-mobility and renewable energy power markets. It will </w:t>
      </w:r>
      <w:bookmarkStart w:id="11" w:name="_Hlk37969762"/>
      <w:r w:rsidRPr="00194394">
        <w:rPr>
          <w:sz w:val="18"/>
          <w:szCs w:val="18"/>
        </w:rPr>
        <w:t xml:space="preserve">propose regional </w:t>
      </w:r>
      <w:bookmarkStart w:id="12" w:name="_Hlk38005807"/>
      <w:r w:rsidRPr="00194394">
        <w:rPr>
          <w:sz w:val="18"/>
          <w:szCs w:val="18"/>
        </w:rPr>
        <w:t>e-mobility targets for the PICTs region by 2030 and 2050</w:t>
      </w:r>
      <w:bookmarkEnd w:id="11"/>
      <w:r w:rsidRPr="00194394">
        <w:rPr>
          <w:sz w:val="18"/>
          <w:szCs w:val="18"/>
        </w:rPr>
        <w:t xml:space="preserve"> </w:t>
      </w:r>
      <w:bookmarkEnd w:id="12"/>
      <w:r w:rsidRPr="00194394">
        <w:rPr>
          <w:sz w:val="18"/>
          <w:szCs w:val="18"/>
        </w:rPr>
        <w:t>and include a regional implementation framework with concrete priority actions. (E11 (iv) of the Resolution of Ministers, Apia, Samoa, 19 September 2019);</w:t>
      </w:r>
    </w:p>
    <w:p w14:paraId="27F42531" w14:textId="29616C41" w:rsidR="00FB7EDE" w:rsidRPr="00194394" w:rsidRDefault="00FB7EDE" w:rsidP="00194394">
      <w:pPr>
        <w:pStyle w:val="Default"/>
        <w:numPr>
          <w:ilvl w:val="0"/>
          <w:numId w:val="40"/>
        </w:numPr>
        <w:jc w:val="both"/>
        <w:rPr>
          <w:sz w:val="18"/>
          <w:szCs w:val="18"/>
        </w:rPr>
      </w:pPr>
      <w:r w:rsidRPr="00194394">
        <w:rPr>
          <w:sz w:val="18"/>
          <w:szCs w:val="18"/>
        </w:rPr>
        <w:t xml:space="preserve">Requested SPC/PCREEE, UNIDO and SIDS DOCK to develop a regional e-mobility program. The program will address existing barriers by promoting regional interventions in the areas of policy and regulation, knowledge management, qualification/certification, as well as the promotion of investment, entrepreneurship and innovation, and to promote SIDS-SIDS cooperation and exchange on integrated e-mobility and renewable energy power systems under the umbrella of the Global Network of Regional Sustainable Energy Centres (GN-SEC). (E11 (iv) of the Resolution of Ministers, Apia, Samoa, 19 September 2019). </w:t>
      </w:r>
    </w:p>
  </w:footnote>
  <w:footnote w:id="3">
    <w:p w14:paraId="77F46F1E" w14:textId="2518EB9B" w:rsidR="00FB7EDE" w:rsidRPr="00181092" w:rsidRDefault="00FB7EDE" w:rsidP="0057781A">
      <w:pPr>
        <w:pStyle w:val="FootnoteText"/>
        <w:rPr>
          <w:sz w:val="18"/>
          <w:szCs w:val="18"/>
          <w:lang w:val="en-GB"/>
        </w:rPr>
      </w:pPr>
      <w:r w:rsidRPr="00181092">
        <w:rPr>
          <w:rStyle w:val="FootnoteReference"/>
          <w:sz w:val="18"/>
          <w:szCs w:val="18"/>
        </w:rPr>
        <w:footnoteRef/>
      </w:r>
      <w:r w:rsidRPr="00181092">
        <w:rPr>
          <w:sz w:val="18"/>
          <w:szCs w:val="18"/>
        </w:rPr>
        <w:t xml:space="preserve"> </w:t>
      </w:r>
      <w:r w:rsidRPr="00181092">
        <w:rPr>
          <w:sz w:val="18"/>
          <w:szCs w:val="18"/>
          <w:lang w:val="en-GB"/>
        </w:rPr>
        <w:t xml:space="preserve">See also </w:t>
      </w:r>
      <w:r w:rsidR="00AE1984">
        <w:rPr>
          <w:sz w:val="18"/>
          <w:szCs w:val="18"/>
          <w:lang w:val="en-GB"/>
        </w:rPr>
        <w:t xml:space="preserve">UNIDO </w:t>
      </w:r>
      <w:r w:rsidRPr="00181092">
        <w:rPr>
          <w:sz w:val="18"/>
          <w:szCs w:val="18"/>
          <w:lang w:val="en-GB"/>
        </w:rPr>
        <w:t xml:space="preserve">GN-SEC theory of change for regional sustainable energy acceleration at: </w:t>
      </w:r>
      <w:hyperlink r:id="rId1" w:history="1">
        <w:r w:rsidRPr="00181092">
          <w:rPr>
            <w:rStyle w:val="Hyperlink"/>
            <w:sz w:val="18"/>
            <w:szCs w:val="18"/>
            <w:lang w:val="en-GB"/>
          </w:rPr>
          <w:t>www.gn-sec.net</w:t>
        </w:r>
      </w:hyperlink>
      <w:r w:rsidRPr="00181092">
        <w:rPr>
          <w:sz w:val="18"/>
          <w:szCs w:val="18"/>
          <w:lang w:val="en-GB"/>
        </w:rPr>
        <w:t xml:space="preserve"> </w:t>
      </w:r>
    </w:p>
  </w:footnote>
  <w:footnote w:id="4">
    <w:p w14:paraId="7757D971" w14:textId="77777777" w:rsidR="00FB7EDE" w:rsidRDefault="00FB7EDE">
      <w:pPr>
        <w:pStyle w:val="FootnoteText"/>
      </w:pPr>
      <w:r>
        <w:rPr>
          <w:rStyle w:val="FootnoteReference"/>
        </w:rPr>
        <w:footnoteRef/>
      </w:r>
      <w:r>
        <w:t xml:space="preserve"> Compared to household grid supply, which is normally around 230V and AC, across the PICTs.</w:t>
      </w:r>
    </w:p>
  </w:footnote>
  <w:footnote w:id="5">
    <w:p w14:paraId="003DB486" w14:textId="77777777"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Nauru Energy Road Map 2014 – 2020, An Implementation Plan for Energy Sector Development, Second Draft 7th January 2014 </w:t>
      </w:r>
      <w:hyperlink r:id="rId2" w:history="1">
        <w:r w:rsidRPr="00181092">
          <w:rPr>
            <w:rStyle w:val="Hyperlink"/>
            <w:sz w:val="18"/>
            <w:szCs w:val="18"/>
          </w:rPr>
          <w:t>https://policy.asiapacificenergy.org/sites/default/files/second_draft_nauru_energy_road_map_v6_0.pdf</w:t>
        </w:r>
      </w:hyperlink>
    </w:p>
  </w:footnote>
  <w:footnote w:id="6">
    <w:p w14:paraId="5A431E84" w14:textId="77777777"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The duty rate applying to EVs and hybrid-EVs is 0% compared to 32% for ordinary vehicles, the excise rate 0% compared to 15%, and the VAT 9% compared with 15%.</w:t>
      </w:r>
    </w:p>
  </w:footnote>
  <w:footnote w:id="7">
    <w:p w14:paraId="5BF6A3BE" w14:textId="2F4BF5A0"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w:t>
      </w:r>
      <w:hyperlink r:id="rId3" w:history="1">
        <w:r w:rsidRPr="00181092">
          <w:rPr>
            <w:rStyle w:val="Hyperlink"/>
            <w:sz w:val="18"/>
            <w:szCs w:val="18"/>
          </w:rPr>
          <w:t>https://www.unescap.org/sites/default/files/Reportofthe2ndStakeholderConsultationWorkshop-ElectrificationofTransportSector.pdf</w:t>
        </w:r>
      </w:hyperlink>
    </w:p>
  </w:footnote>
  <w:footnote w:id="8">
    <w:p w14:paraId="1FF48691" w14:textId="77777777"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w:t>
      </w:r>
      <w:hyperlink r:id="rId4" w:history="1">
        <w:r w:rsidRPr="00181092">
          <w:rPr>
            <w:rStyle w:val="Hyperlink"/>
            <w:sz w:val="18"/>
            <w:szCs w:val="18"/>
          </w:rPr>
          <w:t>https://islands.irena.org/-/media/Files/IRENA/Sids/NavigatingourEnergyFutureMarshallIslandsElectricityRoadmapDecem.ashx</w:t>
        </w:r>
      </w:hyperlink>
    </w:p>
  </w:footnote>
  <w:footnote w:id="9">
    <w:p w14:paraId="02DB3AA7" w14:textId="5C30967C"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w:t>
      </w:r>
      <w:hyperlink r:id="rId5" w:history="1">
        <w:r w:rsidRPr="00181092">
          <w:rPr>
            <w:rStyle w:val="Hyperlink"/>
            <w:sz w:val="18"/>
            <w:szCs w:val="18"/>
          </w:rPr>
          <w:t>https://www4.unfccc.int/sites/ndcstaging/PublishedDocuments/Marshall%20Islands%20Second/20181122%20Marshall%20Islands%20NDC%20to%20UNFCCC%2022%20November%202018%20FINAL.pdf</w:t>
        </w:r>
      </w:hyperlink>
    </w:p>
  </w:footnote>
  <w:footnote w:id="10">
    <w:p w14:paraId="2F65C135" w14:textId="77777777" w:rsidR="00FB7EDE" w:rsidRPr="00181092" w:rsidRDefault="00FB7EDE" w:rsidP="00C94081">
      <w:pPr>
        <w:pStyle w:val="FootnoteText"/>
        <w:rPr>
          <w:sz w:val="18"/>
          <w:szCs w:val="18"/>
        </w:rPr>
      </w:pPr>
      <w:r w:rsidRPr="00181092">
        <w:rPr>
          <w:rStyle w:val="FootnoteReference"/>
          <w:sz w:val="18"/>
          <w:szCs w:val="18"/>
        </w:rPr>
        <w:footnoteRef/>
      </w:r>
      <w:r w:rsidRPr="00181092">
        <w:rPr>
          <w:sz w:val="18"/>
          <w:szCs w:val="18"/>
        </w:rPr>
        <w:t xml:space="preserve"> </w:t>
      </w:r>
      <w:hyperlink r:id="rId6" w:history="1">
        <w:r w:rsidRPr="00181092">
          <w:rPr>
            <w:rStyle w:val="Hyperlink"/>
            <w:sz w:val="18"/>
            <w:szCs w:val="18"/>
          </w:rPr>
          <w:t>https://gggi.org/site/assets/uploads/2018/12/Fiji-LEDS-2018_DIGITAL.pdf</w:t>
        </w:r>
      </w:hyperlink>
    </w:p>
  </w:footnote>
  <w:footnote w:id="11">
    <w:p w14:paraId="6DB1CBFF" w14:textId="77777777" w:rsidR="00FB7EDE" w:rsidRPr="00181092" w:rsidRDefault="00FB7EDE">
      <w:pPr>
        <w:pStyle w:val="FootnoteText"/>
        <w:rPr>
          <w:sz w:val="18"/>
          <w:szCs w:val="18"/>
        </w:rPr>
      </w:pPr>
      <w:r w:rsidRPr="00181092">
        <w:rPr>
          <w:rStyle w:val="FootnoteReference"/>
          <w:sz w:val="18"/>
          <w:szCs w:val="18"/>
        </w:rPr>
        <w:footnoteRef/>
      </w:r>
      <w:r w:rsidRPr="00181092">
        <w:rPr>
          <w:sz w:val="18"/>
          <w:szCs w:val="18"/>
        </w:rPr>
        <w:t xml:space="preserve"> Although this is not necessarily true if an electric vehicle were replacing a petroleum-fuelled vehicle with high fuel consumption. </w:t>
      </w:r>
    </w:p>
  </w:footnote>
  <w:footnote w:id="12">
    <w:p w14:paraId="58EBD9E4" w14:textId="77777777" w:rsidR="00FB7EDE" w:rsidRPr="00181092" w:rsidRDefault="00FB7EDE" w:rsidP="00922C3B">
      <w:pPr>
        <w:pStyle w:val="FootnoteText"/>
        <w:rPr>
          <w:sz w:val="18"/>
          <w:szCs w:val="18"/>
        </w:rPr>
      </w:pPr>
      <w:r w:rsidRPr="00181092">
        <w:rPr>
          <w:rStyle w:val="FootnoteReference"/>
          <w:sz w:val="18"/>
          <w:szCs w:val="18"/>
        </w:rPr>
        <w:footnoteRef/>
      </w:r>
      <w:r w:rsidRPr="00181092">
        <w:rPr>
          <w:sz w:val="18"/>
          <w:szCs w:val="18"/>
        </w:rPr>
        <w:t xml:space="preserve"> </w:t>
      </w:r>
      <w:hyperlink r:id="rId7" w:history="1">
        <w:r w:rsidRPr="00181092">
          <w:rPr>
            <w:rStyle w:val="Hyperlink"/>
            <w:sz w:val="18"/>
            <w:szCs w:val="18"/>
          </w:rPr>
          <w:t>https://www4.unfccc.int/sites/ndcstaging/PublishedDocuments/Marshall%20Islands%20Second/20181122%20Marshall%20Islands%20NDC%20to%20UNFCCC%2022%20November%202018%20FINAL.pdf</w:t>
        </w:r>
      </w:hyperlink>
    </w:p>
  </w:footnote>
  <w:footnote w:id="13">
    <w:p w14:paraId="6B12DB2A" w14:textId="77777777" w:rsidR="00FB7EDE" w:rsidRPr="00181092" w:rsidRDefault="00FB7EDE">
      <w:pPr>
        <w:pStyle w:val="FootnoteText"/>
        <w:rPr>
          <w:sz w:val="18"/>
          <w:szCs w:val="18"/>
        </w:rPr>
      </w:pPr>
      <w:r w:rsidRPr="00181092">
        <w:rPr>
          <w:rStyle w:val="FootnoteReference"/>
          <w:sz w:val="18"/>
          <w:szCs w:val="18"/>
        </w:rPr>
        <w:footnoteRef/>
      </w:r>
      <w:r w:rsidRPr="00181092">
        <w:rPr>
          <w:sz w:val="18"/>
          <w:szCs w:val="18"/>
        </w:rPr>
        <w:t xml:space="preserve"> Provided by Peter Johnston, one of the authors, and expected to soon be published. </w:t>
      </w:r>
    </w:p>
  </w:footnote>
  <w:footnote w:id="14">
    <w:p w14:paraId="4D6EC435" w14:textId="77777777" w:rsidR="00FB7EDE" w:rsidRPr="00181092" w:rsidRDefault="00FB7EDE">
      <w:pPr>
        <w:pStyle w:val="FootnoteText"/>
        <w:rPr>
          <w:sz w:val="18"/>
          <w:szCs w:val="18"/>
        </w:rPr>
      </w:pPr>
      <w:r w:rsidRPr="00181092">
        <w:rPr>
          <w:rStyle w:val="FootnoteReference"/>
          <w:sz w:val="18"/>
          <w:szCs w:val="18"/>
        </w:rPr>
        <w:footnoteRef/>
      </w:r>
      <w:r w:rsidRPr="00181092">
        <w:rPr>
          <w:sz w:val="18"/>
          <w:szCs w:val="18"/>
        </w:rPr>
        <w:t xml:space="preserve"> </w:t>
      </w:r>
      <w:hyperlink r:id="rId8" w:history="1">
        <w:r w:rsidRPr="00181092">
          <w:rPr>
            <w:rStyle w:val="Hyperlink"/>
            <w:sz w:val="18"/>
            <w:szCs w:val="18"/>
          </w:rPr>
          <w:t>https://edd.spc.int/en/document-download/finish/60-reports/606-frameworkforactionontransportservices</w:t>
        </w:r>
      </w:hyperlink>
    </w:p>
  </w:footnote>
  <w:footnote w:id="15">
    <w:p w14:paraId="2D69F91A" w14:textId="77777777"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w:t>
      </w:r>
      <w:hyperlink r:id="rId9" w:history="1">
        <w:r w:rsidRPr="00181092">
          <w:rPr>
            <w:rStyle w:val="Hyperlink"/>
            <w:sz w:val="18"/>
            <w:szCs w:val="18"/>
          </w:rPr>
          <w:t>http://tep-a.org/wp-content/uploads/2017/05/FRDP_2016_finalResilient_Dev_pacific.pdf</w:t>
        </w:r>
      </w:hyperlink>
    </w:p>
  </w:footnote>
  <w:footnote w:id="16">
    <w:p w14:paraId="558617BC" w14:textId="77777777" w:rsidR="00FB7EDE" w:rsidRPr="00181092" w:rsidRDefault="00FB7EDE" w:rsidP="00181092">
      <w:pPr>
        <w:pStyle w:val="FootnoteText"/>
        <w:jc w:val="left"/>
        <w:rPr>
          <w:sz w:val="18"/>
          <w:szCs w:val="18"/>
        </w:rPr>
      </w:pPr>
      <w:r w:rsidRPr="00181092">
        <w:rPr>
          <w:rStyle w:val="FootnoteReference"/>
          <w:sz w:val="18"/>
          <w:szCs w:val="18"/>
        </w:rPr>
        <w:footnoteRef/>
      </w:r>
      <w:r w:rsidRPr="00181092">
        <w:rPr>
          <w:sz w:val="18"/>
          <w:szCs w:val="18"/>
        </w:rPr>
        <w:t xml:space="preserve"> For example, tax incentives on plug-in EVs in Malaysia aimed at reducing transport emissions stimulated a growth in the luxury plug-in hybrid market but many of these vehicles are believed to not make full use of the plug-in capability.   </w:t>
      </w:r>
    </w:p>
  </w:footnote>
  <w:footnote w:id="17">
    <w:p w14:paraId="4F51ED3C" w14:textId="77777777" w:rsidR="002A1F2F" w:rsidRDefault="002A1F2F" w:rsidP="002A1F2F">
      <w:pPr>
        <w:pStyle w:val="FootnoteText"/>
      </w:pPr>
      <w:r w:rsidRPr="00DF02CE">
        <w:rPr>
          <w:rStyle w:val="FootnoteReference"/>
          <w:sz w:val="18"/>
          <w:szCs w:val="18"/>
        </w:rPr>
        <w:footnoteRef/>
      </w:r>
      <w:r w:rsidRPr="00DF02CE">
        <w:rPr>
          <w:sz w:val="18"/>
          <w:szCs w:val="18"/>
        </w:rPr>
        <w:t xml:space="preserve"> </w:t>
      </w:r>
      <w:r w:rsidRPr="00DF02CE">
        <w:rPr>
          <w:sz w:val="18"/>
          <w:szCs w:val="18"/>
          <w:lang w:val="en-GB"/>
        </w:rPr>
        <w:t>“Zero-generation” is where raw feedstocks such as coconut oil are used directly in engines. This tends to be limited to use in older, larger diesel engines. “First-generation” are fuels derived from esterification/simple alcohol derivation methods and can be used in normal petroleum-fuelled engines, with suitable quality controls of the fuels used. “Second-generation” are fuels involving more complex processes which may include enzymic alcohol production, sub-critical water processing and complex chemical processes. These enable higher yield, process of difficult feedstocks, and/or others, and the fuels can be used in normal engines. “Third-generation” refers to a level beyond this again, where the fuels and engines are well matched, resolving one of the significant causes of air-quality-related emissions</w:t>
      </w:r>
      <w:r>
        <w:rPr>
          <w:sz w:val="18"/>
          <w:szCs w:val="18"/>
          <w:lang w:val="en-GB"/>
        </w:rPr>
        <w:t>.</w:t>
      </w:r>
    </w:p>
  </w:footnote>
  <w:footnote w:id="18">
    <w:p w14:paraId="1506EBEB" w14:textId="77777777" w:rsidR="002A1F2F" w:rsidRDefault="002A1F2F" w:rsidP="002A1F2F">
      <w:pPr>
        <w:pStyle w:val="FootnoteText"/>
      </w:pPr>
      <w:r>
        <w:rPr>
          <w:rStyle w:val="FootnoteReference"/>
        </w:rPr>
        <w:footnoteRef/>
      </w:r>
      <w:r>
        <w:t xml:space="preserve"> Noting that gaining normalisation is a vital step in readiness for national-scale uptake. </w:t>
      </w:r>
    </w:p>
  </w:footnote>
  <w:footnote w:id="19">
    <w:p w14:paraId="1A2DD5B6" w14:textId="77777777" w:rsidR="00FB7EDE" w:rsidRDefault="00FB7EDE">
      <w:pPr>
        <w:pStyle w:val="FootnoteText"/>
      </w:pPr>
      <w:r w:rsidRPr="00181092">
        <w:rPr>
          <w:rStyle w:val="FootnoteReference"/>
          <w:sz w:val="18"/>
          <w:szCs w:val="18"/>
        </w:rPr>
        <w:footnoteRef/>
      </w:r>
      <w:r w:rsidRPr="00181092">
        <w:rPr>
          <w:sz w:val="18"/>
          <w:szCs w:val="18"/>
        </w:rPr>
        <w:t xml:space="preserve"> </w:t>
      </w:r>
      <w:hyperlink r:id="rId10" w:history="1">
        <w:r w:rsidRPr="00181092">
          <w:rPr>
            <w:rStyle w:val="Hyperlink"/>
            <w:sz w:val="18"/>
            <w:szCs w:val="18"/>
          </w:rPr>
          <w:t>https://theicct.org/sites/default/files/publications/India_EV_State_Guidebook_20191007.pdf</w:t>
        </w:r>
      </w:hyperlink>
    </w:p>
  </w:footnote>
  <w:footnote w:id="20">
    <w:p w14:paraId="6B6C6561" w14:textId="77777777" w:rsidR="00FB7EDE" w:rsidRPr="00181092" w:rsidRDefault="00FB7EDE">
      <w:pPr>
        <w:pStyle w:val="FootnoteText"/>
        <w:rPr>
          <w:sz w:val="18"/>
          <w:szCs w:val="18"/>
        </w:rPr>
      </w:pPr>
      <w:r w:rsidRPr="00181092">
        <w:rPr>
          <w:rStyle w:val="FootnoteReference"/>
          <w:sz w:val="18"/>
          <w:szCs w:val="18"/>
        </w:rPr>
        <w:footnoteRef/>
      </w:r>
      <w:r w:rsidRPr="00181092">
        <w:rPr>
          <w:sz w:val="18"/>
          <w:szCs w:val="18"/>
        </w:rPr>
        <w:t xml:space="preserve"> The electrification of mobility is expected to be a vital tool in achieving individual country NDCs. What’s more, the uptake of electric vehicles will reduce reliance upon the import of refined oil </w:t>
      </w:r>
      <w:r w:rsidRPr="00181092">
        <w:rPr>
          <w:sz w:val="18"/>
          <w:szCs w:val="18"/>
        </w:rPr>
        <w:t>products and, for some PICTs, there will be economic benefits from reducing local air quality-related emissions</w:t>
      </w:r>
    </w:p>
  </w:footnote>
  <w:footnote w:id="21">
    <w:p w14:paraId="387A3845" w14:textId="77777777" w:rsidR="00FB7EDE" w:rsidRDefault="00FB7EDE">
      <w:pPr>
        <w:pStyle w:val="FootnoteText"/>
      </w:pPr>
      <w:r w:rsidRPr="00181092">
        <w:rPr>
          <w:rStyle w:val="FootnoteReference"/>
          <w:sz w:val="18"/>
          <w:szCs w:val="18"/>
        </w:rPr>
        <w:footnoteRef/>
      </w:r>
      <w:r w:rsidRPr="00181092">
        <w:rPr>
          <w:sz w:val="18"/>
          <w:szCs w:val="18"/>
        </w:rPr>
        <w:t xml:space="preserve"> For example, from reduced fuel imports, lower air quality-related emissions, and lower carbon emissions.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7AC0" w14:textId="061538FA" w:rsidR="00FB7EDE" w:rsidRPr="00AE1984" w:rsidRDefault="00AE1984" w:rsidP="00AE1984">
    <w:pPr>
      <w:pStyle w:val="Header"/>
      <w:jc w:val="center"/>
      <w:rPr>
        <w:sz w:val="16"/>
        <w:szCs w:val="16"/>
      </w:rPr>
    </w:pPr>
    <w:r w:rsidRPr="00AE1984">
      <w:rPr>
        <w:sz w:val="16"/>
        <w:szCs w:val="16"/>
      </w:rPr>
      <w:t>Regional Electric Mobility Policy for Pacific Island Countries and Territories (PICTs)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26E5"/>
    <w:multiLevelType w:val="hybridMultilevel"/>
    <w:tmpl w:val="C1B61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FE2C31"/>
    <w:multiLevelType w:val="hybridMultilevel"/>
    <w:tmpl w:val="F6744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1D3CA3"/>
    <w:multiLevelType w:val="multilevel"/>
    <w:tmpl w:val="E0F0E056"/>
    <w:lvl w:ilvl="0">
      <w:start w:val="1"/>
      <w:numFmt w:val="decimal"/>
      <w:lvlText w:val="Policy Action %1."/>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9476F"/>
    <w:multiLevelType w:val="hybridMultilevel"/>
    <w:tmpl w:val="69CAD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6658E9"/>
    <w:multiLevelType w:val="hybridMultilevel"/>
    <w:tmpl w:val="39B06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9D575F"/>
    <w:multiLevelType w:val="hybridMultilevel"/>
    <w:tmpl w:val="4A8A1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D37E94"/>
    <w:multiLevelType w:val="hybridMultilevel"/>
    <w:tmpl w:val="9030F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04762A"/>
    <w:multiLevelType w:val="hybridMultilevel"/>
    <w:tmpl w:val="17069E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676DD2"/>
    <w:multiLevelType w:val="hybridMultilevel"/>
    <w:tmpl w:val="59EAE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DA6CB0"/>
    <w:multiLevelType w:val="hybridMultilevel"/>
    <w:tmpl w:val="BADE7C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532618"/>
    <w:multiLevelType w:val="hybridMultilevel"/>
    <w:tmpl w:val="5148A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F95499"/>
    <w:multiLevelType w:val="hybridMultilevel"/>
    <w:tmpl w:val="88B86472"/>
    <w:lvl w:ilvl="0" w:tplc="14090001">
      <w:start w:val="1"/>
      <w:numFmt w:val="bullet"/>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2" w15:restartNumberingAfterBreak="0">
    <w:nsid w:val="2F9E01FE"/>
    <w:multiLevelType w:val="hybridMultilevel"/>
    <w:tmpl w:val="290E67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F90A5A"/>
    <w:multiLevelType w:val="hybridMultilevel"/>
    <w:tmpl w:val="5DCCD3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56D65B4"/>
    <w:multiLevelType w:val="hybridMultilevel"/>
    <w:tmpl w:val="F9B43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2B3AA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C5D68F5"/>
    <w:multiLevelType w:val="hybridMultilevel"/>
    <w:tmpl w:val="A8321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43A2378"/>
    <w:multiLevelType w:val="multilevel"/>
    <w:tmpl w:val="6E260F48"/>
    <w:lvl w:ilvl="0">
      <w:start w:val="1"/>
      <w:numFmt w:val="decimal"/>
      <w:lvlText w:val="Activity %1."/>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83A0E7D"/>
    <w:multiLevelType w:val="hybridMultilevel"/>
    <w:tmpl w:val="1E5648D4"/>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9" w15:restartNumberingAfterBreak="0">
    <w:nsid w:val="4E83305C"/>
    <w:multiLevelType w:val="hybridMultilevel"/>
    <w:tmpl w:val="F214ACE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51684FB7"/>
    <w:multiLevelType w:val="multilevel"/>
    <w:tmpl w:val="D66EE45A"/>
    <w:lvl w:ilvl="0">
      <w:start w:val="1"/>
      <w:numFmt w:val="decimal"/>
      <w:lvlText w:val="Policy %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BE3CBB"/>
    <w:multiLevelType w:val="hybridMultilevel"/>
    <w:tmpl w:val="4378C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96D733C"/>
    <w:multiLevelType w:val="hybridMultilevel"/>
    <w:tmpl w:val="495EE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B2440C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DF1D57"/>
    <w:multiLevelType w:val="hybridMultilevel"/>
    <w:tmpl w:val="6FB4E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E2C1258"/>
    <w:multiLevelType w:val="multilevel"/>
    <w:tmpl w:val="A2565A92"/>
    <w:lvl w:ilvl="0">
      <w:start w:val="1"/>
      <w:numFmt w:val="decimal"/>
      <w:lvlText w:val="Policy Activity %1."/>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190143E"/>
    <w:multiLevelType w:val="hybridMultilevel"/>
    <w:tmpl w:val="62409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B469FD"/>
    <w:multiLevelType w:val="hybridMultilevel"/>
    <w:tmpl w:val="B43AC7B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8" w15:restartNumberingAfterBreak="0">
    <w:nsid w:val="6F223B4E"/>
    <w:multiLevelType w:val="hybridMultilevel"/>
    <w:tmpl w:val="D6E8052C"/>
    <w:lvl w:ilvl="0" w:tplc="14090001">
      <w:start w:val="1"/>
      <w:numFmt w:val="bullet"/>
      <w:lvlText w:val=""/>
      <w:lvlJc w:val="left"/>
      <w:pPr>
        <w:ind w:left="758" w:hanging="360"/>
      </w:pPr>
      <w:rPr>
        <w:rFonts w:ascii="Symbol" w:hAnsi="Symbol" w:hint="default"/>
      </w:rPr>
    </w:lvl>
    <w:lvl w:ilvl="1" w:tplc="14090003" w:tentative="1">
      <w:start w:val="1"/>
      <w:numFmt w:val="bullet"/>
      <w:lvlText w:val="o"/>
      <w:lvlJc w:val="left"/>
      <w:pPr>
        <w:ind w:left="1478" w:hanging="360"/>
      </w:pPr>
      <w:rPr>
        <w:rFonts w:ascii="Courier New" w:hAnsi="Courier New" w:cs="Courier New" w:hint="default"/>
      </w:rPr>
    </w:lvl>
    <w:lvl w:ilvl="2" w:tplc="14090005" w:tentative="1">
      <w:start w:val="1"/>
      <w:numFmt w:val="bullet"/>
      <w:lvlText w:val=""/>
      <w:lvlJc w:val="left"/>
      <w:pPr>
        <w:ind w:left="2198" w:hanging="360"/>
      </w:pPr>
      <w:rPr>
        <w:rFonts w:ascii="Wingdings" w:hAnsi="Wingdings" w:hint="default"/>
      </w:rPr>
    </w:lvl>
    <w:lvl w:ilvl="3" w:tplc="14090001" w:tentative="1">
      <w:start w:val="1"/>
      <w:numFmt w:val="bullet"/>
      <w:lvlText w:val=""/>
      <w:lvlJc w:val="left"/>
      <w:pPr>
        <w:ind w:left="2918" w:hanging="360"/>
      </w:pPr>
      <w:rPr>
        <w:rFonts w:ascii="Symbol" w:hAnsi="Symbol" w:hint="default"/>
      </w:rPr>
    </w:lvl>
    <w:lvl w:ilvl="4" w:tplc="14090003" w:tentative="1">
      <w:start w:val="1"/>
      <w:numFmt w:val="bullet"/>
      <w:lvlText w:val="o"/>
      <w:lvlJc w:val="left"/>
      <w:pPr>
        <w:ind w:left="3638" w:hanging="360"/>
      </w:pPr>
      <w:rPr>
        <w:rFonts w:ascii="Courier New" w:hAnsi="Courier New" w:cs="Courier New" w:hint="default"/>
      </w:rPr>
    </w:lvl>
    <w:lvl w:ilvl="5" w:tplc="14090005" w:tentative="1">
      <w:start w:val="1"/>
      <w:numFmt w:val="bullet"/>
      <w:lvlText w:val=""/>
      <w:lvlJc w:val="left"/>
      <w:pPr>
        <w:ind w:left="4358" w:hanging="360"/>
      </w:pPr>
      <w:rPr>
        <w:rFonts w:ascii="Wingdings" w:hAnsi="Wingdings" w:hint="default"/>
      </w:rPr>
    </w:lvl>
    <w:lvl w:ilvl="6" w:tplc="14090001" w:tentative="1">
      <w:start w:val="1"/>
      <w:numFmt w:val="bullet"/>
      <w:lvlText w:val=""/>
      <w:lvlJc w:val="left"/>
      <w:pPr>
        <w:ind w:left="5078" w:hanging="360"/>
      </w:pPr>
      <w:rPr>
        <w:rFonts w:ascii="Symbol" w:hAnsi="Symbol" w:hint="default"/>
      </w:rPr>
    </w:lvl>
    <w:lvl w:ilvl="7" w:tplc="14090003" w:tentative="1">
      <w:start w:val="1"/>
      <w:numFmt w:val="bullet"/>
      <w:lvlText w:val="o"/>
      <w:lvlJc w:val="left"/>
      <w:pPr>
        <w:ind w:left="5798" w:hanging="360"/>
      </w:pPr>
      <w:rPr>
        <w:rFonts w:ascii="Courier New" w:hAnsi="Courier New" w:cs="Courier New" w:hint="default"/>
      </w:rPr>
    </w:lvl>
    <w:lvl w:ilvl="8" w:tplc="14090005" w:tentative="1">
      <w:start w:val="1"/>
      <w:numFmt w:val="bullet"/>
      <w:lvlText w:val=""/>
      <w:lvlJc w:val="left"/>
      <w:pPr>
        <w:ind w:left="6518" w:hanging="360"/>
      </w:pPr>
      <w:rPr>
        <w:rFonts w:ascii="Wingdings" w:hAnsi="Wingdings" w:hint="default"/>
      </w:rPr>
    </w:lvl>
  </w:abstractNum>
  <w:abstractNum w:abstractNumId="29" w15:restartNumberingAfterBreak="0">
    <w:nsid w:val="71366F81"/>
    <w:multiLevelType w:val="multilevel"/>
    <w:tmpl w:val="A2565A92"/>
    <w:lvl w:ilvl="0">
      <w:start w:val="1"/>
      <w:numFmt w:val="decimal"/>
      <w:lvlText w:val="Policy Activity %1."/>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65563A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9233C6"/>
    <w:multiLevelType w:val="hybridMultilevel"/>
    <w:tmpl w:val="F9B43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2C3AD4"/>
    <w:multiLevelType w:val="hybridMultilevel"/>
    <w:tmpl w:val="4AEA58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FA072FB"/>
    <w:multiLevelType w:val="hybridMultilevel"/>
    <w:tmpl w:val="A3E28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1"/>
  </w:num>
  <w:num w:numId="4">
    <w:abstractNumId w:val="15"/>
  </w:num>
  <w:num w:numId="5">
    <w:abstractNumId w:val="6"/>
  </w:num>
  <w:num w:numId="6">
    <w:abstractNumId w:val="11"/>
  </w:num>
  <w:num w:numId="7">
    <w:abstractNumId w:val="4"/>
  </w:num>
  <w:num w:numId="8">
    <w:abstractNumId w:val="32"/>
  </w:num>
  <w:num w:numId="9">
    <w:abstractNumId w:val="7"/>
  </w:num>
  <w:num w:numId="10">
    <w:abstractNumId w:val="10"/>
  </w:num>
  <w:num w:numId="11">
    <w:abstractNumId w:val="14"/>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3"/>
  </w:num>
  <w:num w:numId="20">
    <w:abstractNumId w:val="25"/>
  </w:num>
  <w:num w:numId="21">
    <w:abstractNumId w:val="16"/>
  </w:num>
  <w:num w:numId="22">
    <w:abstractNumId w:val="19"/>
  </w:num>
  <w:num w:numId="23">
    <w:abstractNumId w:val="12"/>
  </w:num>
  <w:num w:numId="24">
    <w:abstractNumId w:val="15"/>
  </w:num>
  <w:num w:numId="25">
    <w:abstractNumId w:val="15"/>
  </w:num>
  <w:num w:numId="26">
    <w:abstractNumId w:val="15"/>
  </w:num>
  <w:num w:numId="27">
    <w:abstractNumId w:val="5"/>
  </w:num>
  <w:num w:numId="28">
    <w:abstractNumId w:val="9"/>
  </w:num>
  <w:num w:numId="29">
    <w:abstractNumId w:val="33"/>
  </w:num>
  <w:num w:numId="30">
    <w:abstractNumId w:val="15"/>
  </w:num>
  <w:num w:numId="31">
    <w:abstractNumId w:val="15"/>
  </w:num>
  <w:num w:numId="32">
    <w:abstractNumId w:val="3"/>
  </w:num>
  <w:num w:numId="33">
    <w:abstractNumId w:val="27"/>
  </w:num>
  <w:num w:numId="34">
    <w:abstractNumId w:val="20"/>
  </w:num>
  <w:num w:numId="35">
    <w:abstractNumId w:val="30"/>
  </w:num>
  <w:num w:numId="36">
    <w:abstractNumId w:val="17"/>
  </w:num>
  <w:num w:numId="37">
    <w:abstractNumId w:val="2"/>
  </w:num>
  <w:num w:numId="38">
    <w:abstractNumId w:val="23"/>
  </w:num>
  <w:num w:numId="39">
    <w:abstractNumId w:val="29"/>
  </w:num>
  <w:num w:numId="40">
    <w:abstractNumId w:val="26"/>
  </w:num>
  <w:num w:numId="41">
    <w:abstractNumId w:val="8"/>
  </w:num>
  <w:num w:numId="42">
    <w:abstractNumId w:val="18"/>
  </w:num>
  <w:num w:numId="43">
    <w:abstractNumId w:val="15"/>
  </w:num>
  <w:num w:numId="44">
    <w:abstractNumId w:val="15"/>
  </w:num>
  <w:num w:numId="45">
    <w:abstractNumId w:val="31"/>
  </w:num>
  <w:num w:numId="46">
    <w:abstractNumId w:val="0"/>
  </w:num>
  <w:num w:numId="47">
    <w:abstractNumId w:val="24"/>
  </w:num>
  <w:num w:numId="48">
    <w:abstractNumId w:val="21"/>
  </w:num>
  <w:num w:numId="4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E6"/>
    <w:rsid w:val="000051D4"/>
    <w:rsid w:val="000125CD"/>
    <w:rsid w:val="000204C8"/>
    <w:rsid w:val="0002152B"/>
    <w:rsid w:val="00022FCC"/>
    <w:rsid w:val="00024442"/>
    <w:rsid w:val="00024779"/>
    <w:rsid w:val="00027255"/>
    <w:rsid w:val="0003346B"/>
    <w:rsid w:val="00033824"/>
    <w:rsid w:val="00035544"/>
    <w:rsid w:val="00035AFA"/>
    <w:rsid w:val="000422BA"/>
    <w:rsid w:val="000441F2"/>
    <w:rsid w:val="00050472"/>
    <w:rsid w:val="00052A8A"/>
    <w:rsid w:val="00055BE2"/>
    <w:rsid w:val="000578BE"/>
    <w:rsid w:val="00063035"/>
    <w:rsid w:val="00064724"/>
    <w:rsid w:val="00066C87"/>
    <w:rsid w:val="00066CB8"/>
    <w:rsid w:val="00066F24"/>
    <w:rsid w:val="00067401"/>
    <w:rsid w:val="0007201B"/>
    <w:rsid w:val="0007217B"/>
    <w:rsid w:val="00073BDE"/>
    <w:rsid w:val="00074B3E"/>
    <w:rsid w:val="00074E8C"/>
    <w:rsid w:val="0008172E"/>
    <w:rsid w:val="000840D6"/>
    <w:rsid w:val="0009119E"/>
    <w:rsid w:val="00091FE8"/>
    <w:rsid w:val="00092925"/>
    <w:rsid w:val="00097FC2"/>
    <w:rsid w:val="000A0C52"/>
    <w:rsid w:val="000A1188"/>
    <w:rsid w:val="000A28FF"/>
    <w:rsid w:val="000A3C6B"/>
    <w:rsid w:val="000A7DF0"/>
    <w:rsid w:val="000B3A46"/>
    <w:rsid w:val="000B3B42"/>
    <w:rsid w:val="000B667E"/>
    <w:rsid w:val="000C13D7"/>
    <w:rsid w:val="000C2286"/>
    <w:rsid w:val="000C44F2"/>
    <w:rsid w:val="000C48B8"/>
    <w:rsid w:val="000C62BF"/>
    <w:rsid w:val="000C75BF"/>
    <w:rsid w:val="000D691A"/>
    <w:rsid w:val="000E06E1"/>
    <w:rsid w:val="000E17B4"/>
    <w:rsid w:val="000E75E5"/>
    <w:rsid w:val="000F4621"/>
    <w:rsid w:val="000F6AFC"/>
    <w:rsid w:val="00101979"/>
    <w:rsid w:val="00102070"/>
    <w:rsid w:val="001026C3"/>
    <w:rsid w:val="00102B42"/>
    <w:rsid w:val="00102DB8"/>
    <w:rsid w:val="001112B6"/>
    <w:rsid w:val="00111684"/>
    <w:rsid w:val="00122282"/>
    <w:rsid w:val="00123E95"/>
    <w:rsid w:val="00125000"/>
    <w:rsid w:val="0012540B"/>
    <w:rsid w:val="00125A16"/>
    <w:rsid w:val="001303D0"/>
    <w:rsid w:val="001318F3"/>
    <w:rsid w:val="00133DA9"/>
    <w:rsid w:val="00134965"/>
    <w:rsid w:val="00136DE8"/>
    <w:rsid w:val="00137850"/>
    <w:rsid w:val="00147598"/>
    <w:rsid w:val="00147BBB"/>
    <w:rsid w:val="00152B39"/>
    <w:rsid w:val="00153032"/>
    <w:rsid w:val="00156852"/>
    <w:rsid w:val="00161AAE"/>
    <w:rsid w:val="00164708"/>
    <w:rsid w:val="00164954"/>
    <w:rsid w:val="00170621"/>
    <w:rsid w:val="00175B73"/>
    <w:rsid w:val="0017768C"/>
    <w:rsid w:val="001808B6"/>
    <w:rsid w:val="00181092"/>
    <w:rsid w:val="001817CA"/>
    <w:rsid w:val="00183C82"/>
    <w:rsid w:val="00185199"/>
    <w:rsid w:val="00185974"/>
    <w:rsid w:val="00194394"/>
    <w:rsid w:val="0019638F"/>
    <w:rsid w:val="001A0D9D"/>
    <w:rsid w:val="001A16A8"/>
    <w:rsid w:val="001A54A5"/>
    <w:rsid w:val="001B0330"/>
    <w:rsid w:val="001B0561"/>
    <w:rsid w:val="001B40FF"/>
    <w:rsid w:val="001B76D2"/>
    <w:rsid w:val="001C15BD"/>
    <w:rsid w:val="001C28D0"/>
    <w:rsid w:val="001C3B1D"/>
    <w:rsid w:val="001C5316"/>
    <w:rsid w:val="001C6CE0"/>
    <w:rsid w:val="001D4049"/>
    <w:rsid w:val="001D4A80"/>
    <w:rsid w:val="001D5F70"/>
    <w:rsid w:val="001D6C5E"/>
    <w:rsid w:val="001D7AF5"/>
    <w:rsid w:val="001E2707"/>
    <w:rsid w:val="001E3A4C"/>
    <w:rsid w:val="001E6CE0"/>
    <w:rsid w:val="00200EE5"/>
    <w:rsid w:val="00201EEC"/>
    <w:rsid w:val="00202C70"/>
    <w:rsid w:val="00202FD9"/>
    <w:rsid w:val="00203AEE"/>
    <w:rsid w:val="002076C9"/>
    <w:rsid w:val="0021119E"/>
    <w:rsid w:val="00211525"/>
    <w:rsid w:val="00211A60"/>
    <w:rsid w:val="002123B9"/>
    <w:rsid w:val="00216EFA"/>
    <w:rsid w:val="00217793"/>
    <w:rsid w:val="00221638"/>
    <w:rsid w:val="00222D06"/>
    <w:rsid w:val="00226751"/>
    <w:rsid w:val="00231077"/>
    <w:rsid w:val="0023154E"/>
    <w:rsid w:val="00231A0E"/>
    <w:rsid w:val="00240584"/>
    <w:rsid w:val="00241770"/>
    <w:rsid w:val="00241D10"/>
    <w:rsid w:val="00243D50"/>
    <w:rsid w:val="002443DF"/>
    <w:rsid w:val="0024446E"/>
    <w:rsid w:val="002451B1"/>
    <w:rsid w:val="002468A7"/>
    <w:rsid w:val="00252CCD"/>
    <w:rsid w:val="00256739"/>
    <w:rsid w:val="00263532"/>
    <w:rsid w:val="00263C5C"/>
    <w:rsid w:val="00263DCB"/>
    <w:rsid w:val="0026457C"/>
    <w:rsid w:val="00266CC5"/>
    <w:rsid w:val="002711D7"/>
    <w:rsid w:val="00275148"/>
    <w:rsid w:val="00277EA3"/>
    <w:rsid w:val="0028148E"/>
    <w:rsid w:val="00281508"/>
    <w:rsid w:val="002A0643"/>
    <w:rsid w:val="002A1F2F"/>
    <w:rsid w:val="002A4092"/>
    <w:rsid w:val="002A46AD"/>
    <w:rsid w:val="002A47BA"/>
    <w:rsid w:val="002A7A01"/>
    <w:rsid w:val="002B1395"/>
    <w:rsid w:val="002B18B4"/>
    <w:rsid w:val="002B1F78"/>
    <w:rsid w:val="002B2383"/>
    <w:rsid w:val="002B71A4"/>
    <w:rsid w:val="002E4C0A"/>
    <w:rsid w:val="002E7F6C"/>
    <w:rsid w:val="002F47F6"/>
    <w:rsid w:val="002F551C"/>
    <w:rsid w:val="00300EE1"/>
    <w:rsid w:val="0030192A"/>
    <w:rsid w:val="00305897"/>
    <w:rsid w:val="003130D4"/>
    <w:rsid w:val="0031428D"/>
    <w:rsid w:val="003163D8"/>
    <w:rsid w:val="00317A37"/>
    <w:rsid w:val="00317CFC"/>
    <w:rsid w:val="0032038E"/>
    <w:rsid w:val="00320D7B"/>
    <w:rsid w:val="003218B1"/>
    <w:rsid w:val="00324CEF"/>
    <w:rsid w:val="00326961"/>
    <w:rsid w:val="003276E3"/>
    <w:rsid w:val="003317FA"/>
    <w:rsid w:val="00335784"/>
    <w:rsid w:val="00337F13"/>
    <w:rsid w:val="003454D2"/>
    <w:rsid w:val="00347564"/>
    <w:rsid w:val="0035000B"/>
    <w:rsid w:val="003506B7"/>
    <w:rsid w:val="00352D9F"/>
    <w:rsid w:val="00354EB0"/>
    <w:rsid w:val="0035510B"/>
    <w:rsid w:val="00356F4F"/>
    <w:rsid w:val="00362B13"/>
    <w:rsid w:val="003638F6"/>
    <w:rsid w:val="003651E0"/>
    <w:rsid w:val="00365513"/>
    <w:rsid w:val="00370AD7"/>
    <w:rsid w:val="00370C40"/>
    <w:rsid w:val="003717C3"/>
    <w:rsid w:val="00371FF4"/>
    <w:rsid w:val="00376FA5"/>
    <w:rsid w:val="0038098D"/>
    <w:rsid w:val="00381ACB"/>
    <w:rsid w:val="003845B8"/>
    <w:rsid w:val="00384F21"/>
    <w:rsid w:val="0038668D"/>
    <w:rsid w:val="00390718"/>
    <w:rsid w:val="00391E2B"/>
    <w:rsid w:val="00393B70"/>
    <w:rsid w:val="0039480E"/>
    <w:rsid w:val="00394996"/>
    <w:rsid w:val="00396701"/>
    <w:rsid w:val="003A3D3A"/>
    <w:rsid w:val="003A454B"/>
    <w:rsid w:val="003B5202"/>
    <w:rsid w:val="003C1A22"/>
    <w:rsid w:val="003C2259"/>
    <w:rsid w:val="003C36EF"/>
    <w:rsid w:val="003C3BB7"/>
    <w:rsid w:val="003D1D9C"/>
    <w:rsid w:val="003D2613"/>
    <w:rsid w:val="003D55B5"/>
    <w:rsid w:val="003E23A6"/>
    <w:rsid w:val="003E3920"/>
    <w:rsid w:val="003E4819"/>
    <w:rsid w:val="003F00EB"/>
    <w:rsid w:val="003F0AEA"/>
    <w:rsid w:val="003F31CB"/>
    <w:rsid w:val="003F3BA0"/>
    <w:rsid w:val="003F3F4B"/>
    <w:rsid w:val="003F4543"/>
    <w:rsid w:val="003F4636"/>
    <w:rsid w:val="0040299A"/>
    <w:rsid w:val="0040466F"/>
    <w:rsid w:val="00421182"/>
    <w:rsid w:val="00424365"/>
    <w:rsid w:val="00424824"/>
    <w:rsid w:val="00427AB7"/>
    <w:rsid w:val="00427BF3"/>
    <w:rsid w:val="00427CC0"/>
    <w:rsid w:val="004309ED"/>
    <w:rsid w:val="00435198"/>
    <w:rsid w:val="00442DC6"/>
    <w:rsid w:val="0044710B"/>
    <w:rsid w:val="004471D2"/>
    <w:rsid w:val="004507FB"/>
    <w:rsid w:val="004519A9"/>
    <w:rsid w:val="0045378D"/>
    <w:rsid w:val="00454AD2"/>
    <w:rsid w:val="00454C5C"/>
    <w:rsid w:val="00470AF2"/>
    <w:rsid w:val="00473AAF"/>
    <w:rsid w:val="0047461B"/>
    <w:rsid w:val="00475CD0"/>
    <w:rsid w:val="004768B2"/>
    <w:rsid w:val="00490B39"/>
    <w:rsid w:val="004965A0"/>
    <w:rsid w:val="004A4D50"/>
    <w:rsid w:val="004B1A23"/>
    <w:rsid w:val="004B7475"/>
    <w:rsid w:val="004C1FD7"/>
    <w:rsid w:val="004C6E3D"/>
    <w:rsid w:val="004D03A3"/>
    <w:rsid w:val="004D1B17"/>
    <w:rsid w:val="004D4A10"/>
    <w:rsid w:val="004D4C92"/>
    <w:rsid w:val="004D598C"/>
    <w:rsid w:val="004D65EF"/>
    <w:rsid w:val="004D7923"/>
    <w:rsid w:val="004D7EBD"/>
    <w:rsid w:val="004E2CC3"/>
    <w:rsid w:val="004E3AAF"/>
    <w:rsid w:val="004F1F4D"/>
    <w:rsid w:val="004F236F"/>
    <w:rsid w:val="004F3F4A"/>
    <w:rsid w:val="004F40F9"/>
    <w:rsid w:val="004F7052"/>
    <w:rsid w:val="005003CC"/>
    <w:rsid w:val="00500E15"/>
    <w:rsid w:val="00501559"/>
    <w:rsid w:val="00502ED6"/>
    <w:rsid w:val="005039EB"/>
    <w:rsid w:val="00503C52"/>
    <w:rsid w:val="00504BDD"/>
    <w:rsid w:val="00504E82"/>
    <w:rsid w:val="00510016"/>
    <w:rsid w:val="0051720E"/>
    <w:rsid w:val="00524AF9"/>
    <w:rsid w:val="00527C48"/>
    <w:rsid w:val="00530BD8"/>
    <w:rsid w:val="005325A1"/>
    <w:rsid w:val="005330DC"/>
    <w:rsid w:val="005365EF"/>
    <w:rsid w:val="00540FD3"/>
    <w:rsid w:val="00541227"/>
    <w:rsid w:val="0054193B"/>
    <w:rsid w:val="00542E3F"/>
    <w:rsid w:val="005431B6"/>
    <w:rsid w:val="00543A54"/>
    <w:rsid w:val="00544965"/>
    <w:rsid w:val="00550B3D"/>
    <w:rsid w:val="0055332A"/>
    <w:rsid w:val="0056068A"/>
    <w:rsid w:val="0056387C"/>
    <w:rsid w:val="00570071"/>
    <w:rsid w:val="0057072D"/>
    <w:rsid w:val="005724DD"/>
    <w:rsid w:val="00572A9C"/>
    <w:rsid w:val="00574C1E"/>
    <w:rsid w:val="00574F72"/>
    <w:rsid w:val="00575181"/>
    <w:rsid w:val="00576B4D"/>
    <w:rsid w:val="0057781A"/>
    <w:rsid w:val="00580B93"/>
    <w:rsid w:val="00582145"/>
    <w:rsid w:val="005855EF"/>
    <w:rsid w:val="0058594A"/>
    <w:rsid w:val="005876F0"/>
    <w:rsid w:val="005934CB"/>
    <w:rsid w:val="00594B13"/>
    <w:rsid w:val="0059562C"/>
    <w:rsid w:val="005965C8"/>
    <w:rsid w:val="005A5ED7"/>
    <w:rsid w:val="005A6DE1"/>
    <w:rsid w:val="005A7755"/>
    <w:rsid w:val="005B15EE"/>
    <w:rsid w:val="005B3663"/>
    <w:rsid w:val="005B41A3"/>
    <w:rsid w:val="005B591B"/>
    <w:rsid w:val="005B6464"/>
    <w:rsid w:val="005B7309"/>
    <w:rsid w:val="005C1F2B"/>
    <w:rsid w:val="005C2BF6"/>
    <w:rsid w:val="005C6405"/>
    <w:rsid w:val="005C69FE"/>
    <w:rsid w:val="005D0D90"/>
    <w:rsid w:val="005D3402"/>
    <w:rsid w:val="005D3A2F"/>
    <w:rsid w:val="005D3C8F"/>
    <w:rsid w:val="005E17DD"/>
    <w:rsid w:val="005E304E"/>
    <w:rsid w:val="005E3DCC"/>
    <w:rsid w:val="005E437F"/>
    <w:rsid w:val="005E488F"/>
    <w:rsid w:val="005E58D5"/>
    <w:rsid w:val="005F0578"/>
    <w:rsid w:val="005F132B"/>
    <w:rsid w:val="005F230C"/>
    <w:rsid w:val="005F4CD3"/>
    <w:rsid w:val="00612823"/>
    <w:rsid w:val="0062191D"/>
    <w:rsid w:val="00621ECB"/>
    <w:rsid w:val="006222D0"/>
    <w:rsid w:val="00623F80"/>
    <w:rsid w:val="006257A4"/>
    <w:rsid w:val="006275C5"/>
    <w:rsid w:val="006316E0"/>
    <w:rsid w:val="006332E5"/>
    <w:rsid w:val="006352C3"/>
    <w:rsid w:val="00636735"/>
    <w:rsid w:val="00636DDB"/>
    <w:rsid w:val="006461D0"/>
    <w:rsid w:val="00647556"/>
    <w:rsid w:val="006511A8"/>
    <w:rsid w:val="00651840"/>
    <w:rsid w:val="00651A60"/>
    <w:rsid w:val="00652A8B"/>
    <w:rsid w:val="0065632A"/>
    <w:rsid w:val="00664A67"/>
    <w:rsid w:val="00664ECC"/>
    <w:rsid w:val="006669D6"/>
    <w:rsid w:val="00670C9F"/>
    <w:rsid w:val="0067100D"/>
    <w:rsid w:val="00671199"/>
    <w:rsid w:val="00674A32"/>
    <w:rsid w:val="00674FCD"/>
    <w:rsid w:val="006765FC"/>
    <w:rsid w:val="00680F94"/>
    <w:rsid w:val="00681BF3"/>
    <w:rsid w:val="00681D39"/>
    <w:rsid w:val="00684C01"/>
    <w:rsid w:val="00687E41"/>
    <w:rsid w:val="00691332"/>
    <w:rsid w:val="0069395C"/>
    <w:rsid w:val="00694012"/>
    <w:rsid w:val="00694A28"/>
    <w:rsid w:val="0069707C"/>
    <w:rsid w:val="006A360A"/>
    <w:rsid w:val="006A3B6A"/>
    <w:rsid w:val="006B4962"/>
    <w:rsid w:val="006D170C"/>
    <w:rsid w:val="006D1FA4"/>
    <w:rsid w:val="006D3D16"/>
    <w:rsid w:val="006D4618"/>
    <w:rsid w:val="006D4F45"/>
    <w:rsid w:val="006D7BDE"/>
    <w:rsid w:val="006E355C"/>
    <w:rsid w:val="006E7AD2"/>
    <w:rsid w:val="006F4014"/>
    <w:rsid w:val="00700310"/>
    <w:rsid w:val="0070214B"/>
    <w:rsid w:val="007056A1"/>
    <w:rsid w:val="0071405E"/>
    <w:rsid w:val="0071406F"/>
    <w:rsid w:val="00714B47"/>
    <w:rsid w:val="00716DF5"/>
    <w:rsid w:val="007170B8"/>
    <w:rsid w:val="00725E03"/>
    <w:rsid w:val="00734CB0"/>
    <w:rsid w:val="00737A89"/>
    <w:rsid w:val="007406D7"/>
    <w:rsid w:val="00741035"/>
    <w:rsid w:val="007467B6"/>
    <w:rsid w:val="00750AC7"/>
    <w:rsid w:val="00751B32"/>
    <w:rsid w:val="007527DC"/>
    <w:rsid w:val="00753C9D"/>
    <w:rsid w:val="00756000"/>
    <w:rsid w:val="007617F2"/>
    <w:rsid w:val="00762314"/>
    <w:rsid w:val="007701C0"/>
    <w:rsid w:val="00770AAC"/>
    <w:rsid w:val="00783A11"/>
    <w:rsid w:val="00784959"/>
    <w:rsid w:val="00784CFB"/>
    <w:rsid w:val="0078672C"/>
    <w:rsid w:val="00791803"/>
    <w:rsid w:val="00792D2E"/>
    <w:rsid w:val="00793A29"/>
    <w:rsid w:val="007A4220"/>
    <w:rsid w:val="007A4827"/>
    <w:rsid w:val="007A7341"/>
    <w:rsid w:val="007B3012"/>
    <w:rsid w:val="007B5F8A"/>
    <w:rsid w:val="007C2243"/>
    <w:rsid w:val="007C2B35"/>
    <w:rsid w:val="007E1564"/>
    <w:rsid w:val="007E367F"/>
    <w:rsid w:val="007E4376"/>
    <w:rsid w:val="007E4D88"/>
    <w:rsid w:val="007E533A"/>
    <w:rsid w:val="007E7358"/>
    <w:rsid w:val="007F1786"/>
    <w:rsid w:val="007F342C"/>
    <w:rsid w:val="007F42DD"/>
    <w:rsid w:val="007F5EA2"/>
    <w:rsid w:val="007F6A7F"/>
    <w:rsid w:val="008015D4"/>
    <w:rsid w:val="008023B8"/>
    <w:rsid w:val="008038A0"/>
    <w:rsid w:val="00805C6B"/>
    <w:rsid w:val="00805F39"/>
    <w:rsid w:val="00806850"/>
    <w:rsid w:val="00810979"/>
    <w:rsid w:val="00810D28"/>
    <w:rsid w:val="00815FBD"/>
    <w:rsid w:val="00823DFB"/>
    <w:rsid w:val="00825911"/>
    <w:rsid w:val="008322AF"/>
    <w:rsid w:val="00835086"/>
    <w:rsid w:val="008357AE"/>
    <w:rsid w:val="008404C9"/>
    <w:rsid w:val="0084542E"/>
    <w:rsid w:val="008471A8"/>
    <w:rsid w:val="00854A8B"/>
    <w:rsid w:val="00855679"/>
    <w:rsid w:val="00855A1C"/>
    <w:rsid w:val="00855F9B"/>
    <w:rsid w:val="008611F2"/>
    <w:rsid w:val="00865CD0"/>
    <w:rsid w:val="00866F0A"/>
    <w:rsid w:val="00867101"/>
    <w:rsid w:val="0086712F"/>
    <w:rsid w:val="00872E56"/>
    <w:rsid w:val="008747C6"/>
    <w:rsid w:val="00876EE8"/>
    <w:rsid w:val="008815C6"/>
    <w:rsid w:val="00881861"/>
    <w:rsid w:val="008833BA"/>
    <w:rsid w:val="00886FBA"/>
    <w:rsid w:val="00890CBC"/>
    <w:rsid w:val="00895E57"/>
    <w:rsid w:val="008A51FE"/>
    <w:rsid w:val="008A5DCC"/>
    <w:rsid w:val="008A5ED6"/>
    <w:rsid w:val="008B27D1"/>
    <w:rsid w:val="008B3F5E"/>
    <w:rsid w:val="008B5E07"/>
    <w:rsid w:val="008B7C6B"/>
    <w:rsid w:val="008B7F14"/>
    <w:rsid w:val="008C5715"/>
    <w:rsid w:val="008C65D3"/>
    <w:rsid w:val="008D0E14"/>
    <w:rsid w:val="008D4F4F"/>
    <w:rsid w:val="008D5629"/>
    <w:rsid w:val="008D76C8"/>
    <w:rsid w:val="008E2261"/>
    <w:rsid w:val="008E2EBF"/>
    <w:rsid w:val="008E3CD2"/>
    <w:rsid w:val="008E57B6"/>
    <w:rsid w:val="008E7C6B"/>
    <w:rsid w:val="008F04FC"/>
    <w:rsid w:val="008F1378"/>
    <w:rsid w:val="008F18F5"/>
    <w:rsid w:val="008F611C"/>
    <w:rsid w:val="008F63B1"/>
    <w:rsid w:val="00901173"/>
    <w:rsid w:val="009026F5"/>
    <w:rsid w:val="00903CAB"/>
    <w:rsid w:val="00914C90"/>
    <w:rsid w:val="009151B4"/>
    <w:rsid w:val="009167E1"/>
    <w:rsid w:val="00916E04"/>
    <w:rsid w:val="00917B62"/>
    <w:rsid w:val="00917C49"/>
    <w:rsid w:val="009202B3"/>
    <w:rsid w:val="009210DD"/>
    <w:rsid w:val="0092128E"/>
    <w:rsid w:val="009229D5"/>
    <w:rsid w:val="00922C3B"/>
    <w:rsid w:val="0092460B"/>
    <w:rsid w:val="009248DD"/>
    <w:rsid w:val="0092684D"/>
    <w:rsid w:val="00930DFA"/>
    <w:rsid w:val="009332B1"/>
    <w:rsid w:val="00934DA9"/>
    <w:rsid w:val="00936A37"/>
    <w:rsid w:val="00940568"/>
    <w:rsid w:val="0094114D"/>
    <w:rsid w:val="00943E94"/>
    <w:rsid w:val="00950D25"/>
    <w:rsid w:val="00952568"/>
    <w:rsid w:val="009546B2"/>
    <w:rsid w:val="009548C5"/>
    <w:rsid w:val="00957A11"/>
    <w:rsid w:val="00960A97"/>
    <w:rsid w:val="00962609"/>
    <w:rsid w:val="009631BD"/>
    <w:rsid w:val="00965AF8"/>
    <w:rsid w:val="009664BC"/>
    <w:rsid w:val="009671E7"/>
    <w:rsid w:val="00973A1E"/>
    <w:rsid w:val="00982767"/>
    <w:rsid w:val="009832C6"/>
    <w:rsid w:val="00985854"/>
    <w:rsid w:val="00985DC5"/>
    <w:rsid w:val="00985E98"/>
    <w:rsid w:val="009863FC"/>
    <w:rsid w:val="00986993"/>
    <w:rsid w:val="009919BC"/>
    <w:rsid w:val="00992C59"/>
    <w:rsid w:val="00995D7C"/>
    <w:rsid w:val="00996197"/>
    <w:rsid w:val="009A28E0"/>
    <w:rsid w:val="009A3753"/>
    <w:rsid w:val="009A3DED"/>
    <w:rsid w:val="009A4B55"/>
    <w:rsid w:val="009A5D1F"/>
    <w:rsid w:val="009B73A4"/>
    <w:rsid w:val="009C0778"/>
    <w:rsid w:val="009C1A05"/>
    <w:rsid w:val="009C3C91"/>
    <w:rsid w:val="009C56BD"/>
    <w:rsid w:val="009D489B"/>
    <w:rsid w:val="009D6EC0"/>
    <w:rsid w:val="009E0378"/>
    <w:rsid w:val="009E17C1"/>
    <w:rsid w:val="009E1BF1"/>
    <w:rsid w:val="009E3FDC"/>
    <w:rsid w:val="009E517E"/>
    <w:rsid w:val="009E7696"/>
    <w:rsid w:val="009F1E4E"/>
    <w:rsid w:val="009F5B2D"/>
    <w:rsid w:val="009F76EF"/>
    <w:rsid w:val="009F7B15"/>
    <w:rsid w:val="00A0149A"/>
    <w:rsid w:val="00A11F7F"/>
    <w:rsid w:val="00A15217"/>
    <w:rsid w:val="00A16B82"/>
    <w:rsid w:val="00A230FD"/>
    <w:rsid w:val="00A234F1"/>
    <w:rsid w:val="00A239DF"/>
    <w:rsid w:val="00A25A3B"/>
    <w:rsid w:val="00A25F37"/>
    <w:rsid w:val="00A27830"/>
    <w:rsid w:val="00A36330"/>
    <w:rsid w:val="00A3687D"/>
    <w:rsid w:val="00A420BE"/>
    <w:rsid w:val="00A429BD"/>
    <w:rsid w:val="00A4651A"/>
    <w:rsid w:val="00A50678"/>
    <w:rsid w:val="00A513D5"/>
    <w:rsid w:val="00A51E63"/>
    <w:rsid w:val="00A52FA9"/>
    <w:rsid w:val="00A57104"/>
    <w:rsid w:val="00A767E1"/>
    <w:rsid w:val="00A7704F"/>
    <w:rsid w:val="00A83A5E"/>
    <w:rsid w:val="00A84891"/>
    <w:rsid w:val="00A850E7"/>
    <w:rsid w:val="00A85713"/>
    <w:rsid w:val="00A90DAB"/>
    <w:rsid w:val="00A92271"/>
    <w:rsid w:val="00A94DCB"/>
    <w:rsid w:val="00A97C0D"/>
    <w:rsid w:val="00AA15C2"/>
    <w:rsid w:val="00AA2E93"/>
    <w:rsid w:val="00AA312E"/>
    <w:rsid w:val="00AA7093"/>
    <w:rsid w:val="00AB0BBA"/>
    <w:rsid w:val="00AB1452"/>
    <w:rsid w:val="00AB2584"/>
    <w:rsid w:val="00AB2ED0"/>
    <w:rsid w:val="00AB6BCB"/>
    <w:rsid w:val="00AB7C9A"/>
    <w:rsid w:val="00AC141F"/>
    <w:rsid w:val="00AC394A"/>
    <w:rsid w:val="00AC3956"/>
    <w:rsid w:val="00AC3C47"/>
    <w:rsid w:val="00AC6F72"/>
    <w:rsid w:val="00AD0A5C"/>
    <w:rsid w:val="00AD2A44"/>
    <w:rsid w:val="00AE00D6"/>
    <w:rsid w:val="00AE1739"/>
    <w:rsid w:val="00AE1984"/>
    <w:rsid w:val="00AE2B16"/>
    <w:rsid w:val="00AE784A"/>
    <w:rsid w:val="00AF300A"/>
    <w:rsid w:val="00AF315C"/>
    <w:rsid w:val="00B036ED"/>
    <w:rsid w:val="00B0512E"/>
    <w:rsid w:val="00B051A7"/>
    <w:rsid w:val="00B14313"/>
    <w:rsid w:val="00B1615D"/>
    <w:rsid w:val="00B1633B"/>
    <w:rsid w:val="00B22CA4"/>
    <w:rsid w:val="00B23AB6"/>
    <w:rsid w:val="00B24296"/>
    <w:rsid w:val="00B2558E"/>
    <w:rsid w:val="00B26508"/>
    <w:rsid w:val="00B27F2A"/>
    <w:rsid w:val="00B30A2D"/>
    <w:rsid w:val="00B311C9"/>
    <w:rsid w:val="00B312FC"/>
    <w:rsid w:val="00B42CF7"/>
    <w:rsid w:val="00B4442F"/>
    <w:rsid w:val="00B44E03"/>
    <w:rsid w:val="00B461A8"/>
    <w:rsid w:val="00B477EA"/>
    <w:rsid w:val="00B4795E"/>
    <w:rsid w:val="00B533BD"/>
    <w:rsid w:val="00B55993"/>
    <w:rsid w:val="00B56D39"/>
    <w:rsid w:val="00B56E13"/>
    <w:rsid w:val="00B64D06"/>
    <w:rsid w:val="00B66265"/>
    <w:rsid w:val="00B670A3"/>
    <w:rsid w:val="00B75D55"/>
    <w:rsid w:val="00B75E89"/>
    <w:rsid w:val="00B82767"/>
    <w:rsid w:val="00B82F7E"/>
    <w:rsid w:val="00B84126"/>
    <w:rsid w:val="00B9132E"/>
    <w:rsid w:val="00BA05CB"/>
    <w:rsid w:val="00BA2DC9"/>
    <w:rsid w:val="00BA4D79"/>
    <w:rsid w:val="00BB13EA"/>
    <w:rsid w:val="00BB1617"/>
    <w:rsid w:val="00BB1D2B"/>
    <w:rsid w:val="00BB20D0"/>
    <w:rsid w:val="00BB3CCA"/>
    <w:rsid w:val="00BC3289"/>
    <w:rsid w:val="00BC5B55"/>
    <w:rsid w:val="00BC702C"/>
    <w:rsid w:val="00BD1944"/>
    <w:rsid w:val="00BD2BFF"/>
    <w:rsid w:val="00BD3059"/>
    <w:rsid w:val="00BD505C"/>
    <w:rsid w:val="00BD7BED"/>
    <w:rsid w:val="00BD7CB8"/>
    <w:rsid w:val="00BD7FDE"/>
    <w:rsid w:val="00BE2933"/>
    <w:rsid w:val="00BE2D4C"/>
    <w:rsid w:val="00BE367D"/>
    <w:rsid w:val="00BE38D3"/>
    <w:rsid w:val="00BE583E"/>
    <w:rsid w:val="00BE5C0B"/>
    <w:rsid w:val="00BE641D"/>
    <w:rsid w:val="00BF07DC"/>
    <w:rsid w:val="00BF1E89"/>
    <w:rsid w:val="00BF6818"/>
    <w:rsid w:val="00C005DC"/>
    <w:rsid w:val="00C00E07"/>
    <w:rsid w:val="00C0375E"/>
    <w:rsid w:val="00C04D48"/>
    <w:rsid w:val="00C063A7"/>
    <w:rsid w:val="00C06E77"/>
    <w:rsid w:val="00C109CB"/>
    <w:rsid w:val="00C1435F"/>
    <w:rsid w:val="00C1527C"/>
    <w:rsid w:val="00C16BBE"/>
    <w:rsid w:val="00C17D0C"/>
    <w:rsid w:val="00C204F8"/>
    <w:rsid w:val="00C20B3B"/>
    <w:rsid w:val="00C24EBF"/>
    <w:rsid w:val="00C3209F"/>
    <w:rsid w:val="00C401F5"/>
    <w:rsid w:val="00C44C7A"/>
    <w:rsid w:val="00C47769"/>
    <w:rsid w:val="00C520AF"/>
    <w:rsid w:val="00C5324E"/>
    <w:rsid w:val="00C5401B"/>
    <w:rsid w:val="00C543A8"/>
    <w:rsid w:val="00C67659"/>
    <w:rsid w:val="00C70D96"/>
    <w:rsid w:val="00C74B60"/>
    <w:rsid w:val="00C755A1"/>
    <w:rsid w:val="00C776EE"/>
    <w:rsid w:val="00C857AE"/>
    <w:rsid w:val="00C87D29"/>
    <w:rsid w:val="00C87F16"/>
    <w:rsid w:val="00C91DE3"/>
    <w:rsid w:val="00C928AC"/>
    <w:rsid w:val="00C931A8"/>
    <w:rsid w:val="00C93394"/>
    <w:rsid w:val="00C94081"/>
    <w:rsid w:val="00C951DB"/>
    <w:rsid w:val="00CA5CCA"/>
    <w:rsid w:val="00CB4590"/>
    <w:rsid w:val="00CB56BD"/>
    <w:rsid w:val="00CB5809"/>
    <w:rsid w:val="00CB5FC9"/>
    <w:rsid w:val="00CB7170"/>
    <w:rsid w:val="00CB7C84"/>
    <w:rsid w:val="00CC013F"/>
    <w:rsid w:val="00CC5031"/>
    <w:rsid w:val="00CC633E"/>
    <w:rsid w:val="00CE086C"/>
    <w:rsid w:val="00CE1E31"/>
    <w:rsid w:val="00CE3CC7"/>
    <w:rsid w:val="00CE76C6"/>
    <w:rsid w:val="00CF3D6F"/>
    <w:rsid w:val="00CF4DD4"/>
    <w:rsid w:val="00CF6890"/>
    <w:rsid w:val="00CF71AD"/>
    <w:rsid w:val="00D05152"/>
    <w:rsid w:val="00D119DD"/>
    <w:rsid w:val="00D1409F"/>
    <w:rsid w:val="00D15C28"/>
    <w:rsid w:val="00D16C3B"/>
    <w:rsid w:val="00D20A61"/>
    <w:rsid w:val="00D220C0"/>
    <w:rsid w:val="00D22C86"/>
    <w:rsid w:val="00D2579A"/>
    <w:rsid w:val="00D267C0"/>
    <w:rsid w:val="00D278A9"/>
    <w:rsid w:val="00D27F63"/>
    <w:rsid w:val="00D3746C"/>
    <w:rsid w:val="00D51AAF"/>
    <w:rsid w:val="00D52888"/>
    <w:rsid w:val="00D5346D"/>
    <w:rsid w:val="00D54719"/>
    <w:rsid w:val="00D55981"/>
    <w:rsid w:val="00D5606B"/>
    <w:rsid w:val="00D611E9"/>
    <w:rsid w:val="00D61DA4"/>
    <w:rsid w:val="00D65FC4"/>
    <w:rsid w:val="00D66DA3"/>
    <w:rsid w:val="00D74409"/>
    <w:rsid w:val="00D75759"/>
    <w:rsid w:val="00D76CFB"/>
    <w:rsid w:val="00D77ED1"/>
    <w:rsid w:val="00D81A31"/>
    <w:rsid w:val="00D90A4F"/>
    <w:rsid w:val="00DA48EE"/>
    <w:rsid w:val="00DA515C"/>
    <w:rsid w:val="00DA6856"/>
    <w:rsid w:val="00DA68D8"/>
    <w:rsid w:val="00DB4983"/>
    <w:rsid w:val="00DB5BC6"/>
    <w:rsid w:val="00DB5E01"/>
    <w:rsid w:val="00DB6D70"/>
    <w:rsid w:val="00DC2387"/>
    <w:rsid w:val="00DC71AF"/>
    <w:rsid w:val="00DD1CFF"/>
    <w:rsid w:val="00DD24CD"/>
    <w:rsid w:val="00DD53E4"/>
    <w:rsid w:val="00DE26DF"/>
    <w:rsid w:val="00DE7B4A"/>
    <w:rsid w:val="00DF629E"/>
    <w:rsid w:val="00DF748A"/>
    <w:rsid w:val="00E00C60"/>
    <w:rsid w:val="00E034C4"/>
    <w:rsid w:val="00E04F83"/>
    <w:rsid w:val="00E06577"/>
    <w:rsid w:val="00E1500C"/>
    <w:rsid w:val="00E159B6"/>
    <w:rsid w:val="00E1754D"/>
    <w:rsid w:val="00E22FF2"/>
    <w:rsid w:val="00E246D2"/>
    <w:rsid w:val="00E25B85"/>
    <w:rsid w:val="00E27D3F"/>
    <w:rsid w:val="00E3408B"/>
    <w:rsid w:val="00E3470C"/>
    <w:rsid w:val="00E372D5"/>
    <w:rsid w:val="00E377E7"/>
    <w:rsid w:val="00E45C71"/>
    <w:rsid w:val="00E46B1F"/>
    <w:rsid w:val="00E504C5"/>
    <w:rsid w:val="00E616F0"/>
    <w:rsid w:val="00E65B57"/>
    <w:rsid w:val="00E741BF"/>
    <w:rsid w:val="00E80743"/>
    <w:rsid w:val="00E81081"/>
    <w:rsid w:val="00E84D04"/>
    <w:rsid w:val="00E85ED3"/>
    <w:rsid w:val="00E9074A"/>
    <w:rsid w:val="00E916C8"/>
    <w:rsid w:val="00E91FDF"/>
    <w:rsid w:val="00E9307D"/>
    <w:rsid w:val="00E93E61"/>
    <w:rsid w:val="00E93F5E"/>
    <w:rsid w:val="00E95B87"/>
    <w:rsid w:val="00E96AEB"/>
    <w:rsid w:val="00EA32ED"/>
    <w:rsid w:val="00EA4694"/>
    <w:rsid w:val="00EB2BB2"/>
    <w:rsid w:val="00EB478D"/>
    <w:rsid w:val="00EC0C72"/>
    <w:rsid w:val="00EC2600"/>
    <w:rsid w:val="00EC2E2D"/>
    <w:rsid w:val="00EC4F1E"/>
    <w:rsid w:val="00EC786D"/>
    <w:rsid w:val="00ED0F29"/>
    <w:rsid w:val="00ED63F8"/>
    <w:rsid w:val="00ED7AC9"/>
    <w:rsid w:val="00ED7CDC"/>
    <w:rsid w:val="00EE0D9A"/>
    <w:rsid w:val="00EE3FF7"/>
    <w:rsid w:val="00EF23E6"/>
    <w:rsid w:val="00EF3205"/>
    <w:rsid w:val="00EF527E"/>
    <w:rsid w:val="00F00A08"/>
    <w:rsid w:val="00F05E3F"/>
    <w:rsid w:val="00F06A33"/>
    <w:rsid w:val="00F10EB4"/>
    <w:rsid w:val="00F134CA"/>
    <w:rsid w:val="00F16249"/>
    <w:rsid w:val="00F16B34"/>
    <w:rsid w:val="00F1763F"/>
    <w:rsid w:val="00F20C2B"/>
    <w:rsid w:val="00F254FB"/>
    <w:rsid w:val="00F30980"/>
    <w:rsid w:val="00F31380"/>
    <w:rsid w:val="00F31B60"/>
    <w:rsid w:val="00F4513F"/>
    <w:rsid w:val="00F55951"/>
    <w:rsid w:val="00F56FEF"/>
    <w:rsid w:val="00F66855"/>
    <w:rsid w:val="00F727E3"/>
    <w:rsid w:val="00F76FB2"/>
    <w:rsid w:val="00F771F9"/>
    <w:rsid w:val="00F809BC"/>
    <w:rsid w:val="00F90573"/>
    <w:rsid w:val="00F90D5B"/>
    <w:rsid w:val="00F918E8"/>
    <w:rsid w:val="00F93801"/>
    <w:rsid w:val="00F964D8"/>
    <w:rsid w:val="00F9677B"/>
    <w:rsid w:val="00FA022C"/>
    <w:rsid w:val="00FA0343"/>
    <w:rsid w:val="00FA13E9"/>
    <w:rsid w:val="00FA5509"/>
    <w:rsid w:val="00FA7408"/>
    <w:rsid w:val="00FA7DE7"/>
    <w:rsid w:val="00FA7FB5"/>
    <w:rsid w:val="00FB327B"/>
    <w:rsid w:val="00FB5753"/>
    <w:rsid w:val="00FB5845"/>
    <w:rsid w:val="00FB5BC0"/>
    <w:rsid w:val="00FB7EDE"/>
    <w:rsid w:val="00FC6C71"/>
    <w:rsid w:val="00FD04B3"/>
    <w:rsid w:val="00FD75A7"/>
    <w:rsid w:val="00FD795D"/>
    <w:rsid w:val="00FE1083"/>
    <w:rsid w:val="00FE396C"/>
    <w:rsid w:val="00FE4D96"/>
    <w:rsid w:val="00FE66E4"/>
    <w:rsid w:val="00FF090A"/>
    <w:rsid w:val="00FF25C1"/>
    <w:rsid w:val="00FF32A5"/>
    <w:rsid w:val="00FF34B7"/>
    <w:rsid w:val="00FF4790"/>
    <w:rsid w:val="00FF6397"/>
    <w:rsid w:val="00FF7E0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64E9E"/>
  <w15:docId w15:val="{E77E53FF-CD16-4372-8A3B-1794933A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23A6"/>
    <w:pPr>
      <w:jc w:val="both"/>
    </w:pPr>
  </w:style>
  <w:style w:type="paragraph" w:styleId="Heading1">
    <w:name w:val="heading 1"/>
    <w:basedOn w:val="Normal"/>
    <w:next w:val="Normal"/>
    <w:link w:val="Heading1Char"/>
    <w:uiPriority w:val="9"/>
    <w:qFormat/>
    <w:rsid w:val="002B1395"/>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299A"/>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299A"/>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0299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299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0299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299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299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299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CB0"/>
    <w:pPr>
      <w:ind w:left="720"/>
      <w:contextualSpacing/>
    </w:pPr>
  </w:style>
  <w:style w:type="paragraph" w:styleId="BalloonText">
    <w:name w:val="Balloon Text"/>
    <w:basedOn w:val="Normal"/>
    <w:link w:val="BalloonTextChar"/>
    <w:uiPriority w:val="99"/>
    <w:semiHidden/>
    <w:unhideWhenUsed/>
    <w:rsid w:val="00C32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09F"/>
    <w:rPr>
      <w:rFonts w:ascii="Segoe UI" w:hAnsi="Segoe UI" w:cs="Segoe UI"/>
      <w:sz w:val="18"/>
      <w:szCs w:val="18"/>
    </w:rPr>
  </w:style>
  <w:style w:type="paragraph" w:styleId="FootnoteText">
    <w:name w:val="footnote text"/>
    <w:basedOn w:val="Normal"/>
    <w:link w:val="FootnoteTextChar"/>
    <w:uiPriority w:val="99"/>
    <w:unhideWhenUsed/>
    <w:rsid w:val="005965C8"/>
    <w:pPr>
      <w:spacing w:after="0" w:line="240" w:lineRule="auto"/>
    </w:pPr>
    <w:rPr>
      <w:sz w:val="20"/>
      <w:szCs w:val="20"/>
    </w:rPr>
  </w:style>
  <w:style w:type="character" w:customStyle="1" w:styleId="FootnoteTextChar">
    <w:name w:val="Footnote Text Char"/>
    <w:basedOn w:val="DefaultParagraphFont"/>
    <w:link w:val="FootnoteText"/>
    <w:uiPriority w:val="99"/>
    <w:rsid w:val="005965C8"/>
    <w:rPr>
      <w:sz w:val="20"/>
      <w:szCs w:val="20"/>
    </w:rPr>
  </w:style>
  <w:style w:type="character" w:styleId="FootnoteReference">
    <w:name w:val="footnote reference"/>
    <w:aliases w:val="SUPERS"/>
    <w:basedOn w:val="DefaultParagraphFont"/>
    <w:uiPriority w:val="99"/>
    <w:unhideWhenUsed/>
    <w:rsid w:val="005965C8"/>
    <w:rPr>
      <w:vertAlign w:val="superscript"/>
    </w:rPr>
  </w:style>
  <w:style w:type="character" w:styleId="Hyperlink">
    <w:name w:val="Hyperlink"/>
    <w:basedOn w:val="DefaultParagraphFont"/>
    <w:uiPriority w:val="99"/>
    <w:unhideWhenUsed/>
    <w:rsid w:val="007E4376"/>
    <w:rPr>
      <w:color w:val="0000FF"/>
      <w:u w:val="single"/>
    </w:rPr>
  </w:style>
  <w:style w:type="character" w:customStyle="1" w:styleId="Heading1Char">
    <w:name w:val="Heading 1 Char"/>
    <w:basedOn w:val="DefaultParagraphFont"/>
    <w:link w:val="Heading1"/>
    <w:uiPriority w:val="9"/>
    <w:rsid w:val="002B139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54A5"/>
    <w:pPr>
      <w:outlineLvl w:val="9"/>
    </w:pPr>
    <w:rPr>
      <w:lang w:val="en-US"/>
    </w:rPr>
  </w:style>
  <w:style w:type="paragraph" w:styleId="TOC1">
    <w:name w:val="toc 1"/>
    <w:basedOn w:val="Normal"/>
    <w:next w:val="Normal"/>
    <w:autoRedefine/>
    <w:uiPriority w:val="39"/>
    <w:unhideWhenUsed/>
    <w:rsid w:val="001A54A5"/>
    <w:pPr>
      <w:spacing w:after="100"/>
    </w:pPr>
  </w:style>
  <w:style w:type="character" w:customStyle="1" w:styleId="UnresolvedMention1">
    <w:name w:val="Unresolved Mention1"/>
    <w:basedOn w:val="DefaultParagraphFont"/>
    <w:uiPriority w:val="99"/>
    <w:semiHidden/>
    <w:unhideWhenUsed/>
    <w:rsid w:val="00266CC5"/>
    <w:rPr>
      <w:color w:val="605E5C"/>
      <w:shd w:val="clear" w:color="auto" w:fill="E1DFDD"/>
    </w:rPr>
  </w:style>
  <w:style w:type="character" w:styleId="FollowedHyperlink">
    <w:name w:val="FollowedHyperlink"/>
    <w:basedOn w:val="DefaultParagraphFont"/>
    <w:uiPriority w:val="99"/>
    <w:semiHidden/>
    <w:unhideWhenUsed/>
    <w:rsid w:val="000422BA"/>
    <w:rPr>
      <w:color w:val="954F72" w:themeColor="followedHyperlink"/>
      <w:u w:val="single"/>
    </w:rPr>
  </w:style>
  <w:style w:type="character" w:customStyle="1" w:styleId="Heading2Char">
    <w:name w:val="Heading 2 Char"/>
    <w:basedOn w:val="DefaultParagraphFont"/>
    <w:link w:val="Heading2"/>
    <w:uiPriority w:val="9"/>
    <w:rsid w:val="004029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0299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0299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029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0299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0299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029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299A"/>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2B1F78"/>
    <w:pPr>
      <w:spacing w:after="100"/>
      <w:ind w:left="220"/>
    </w:pPr>
  </w:style>
  <w:style w:type="character" w:styleId="CommentReference">
    <w:name w:val="annotation reference"/>
    <w:basedOn w:val="DefaultParagraphFont"/>
    <w:uiPriority w:val="99"/>
    <w:semiHidden/>
    <w:unhideWhenUsed/>
    <w:rsid w:val="006A3B6A"/>
    <w:rPr>
      <w:sz w:val="16"/>
      <w:szCs w:val="16"/>
    </w:rPr>
  </w:style>
  <w:style w:type="paragraph" w:styleId="CommentText">
    <w:name w:val="annotation text"/>
    <w:basedOn w:val="Normal"/>
    <w:link w:val="CommentTextChar"/>
    <w:uiPriority w:val="99"/>
    <w:semiHidden/>
    <w:unhideWhenUsed/>
    <w:rsid w:val="006A3B6A"/>
    <w:pPr>
      <w:spacing w:line="240" w:lineRule="auto"/>
    </w:pPr>
    <w:rPr>
      <w:sz w:val="20"/>
      <w:szCs w:val="20"/>
    </w:rPr>
  </w:style>
  <w:style w:type="character" w:customStyle="1" w:styleId="CommentTextChar">
    <w:name w:val="Comment Text Char"/>
    <w:basedOn w:val="DefaultParagraphFont"/>
    <w:link w:val="CommentText"/>
    <w:uiPriority w:val="99"/>
    <w:semiHidden/>
    <w:rsid w:val="006A3B6A"/>
    <w:rPr>
      <w:sz w:val="20"/>
      <w:szCs w:val="20"/>
    </w:rPr>
  </w:style>
  <w:style w:type="paragraph" w:styleId="CommentSubject">
    <w:name w:val="annotation subject"/>
    <w:basedOn w:val="CommentText"/>
    <w:next w:val="CommentText"/>
    <w:link w:val="CommentSubjectChar"/>
    <w:uiPriority w:val="99"/>
    <w:semiHidden/>
    <w:unhideWhenUsed/>
    <w:rsid w:val="006A3B6A"/>
    <w:rPr>
      <w:b/>
      <w:bCs/>
    </w:rPr>
  </w:style>
  <w:style w:type="character" w:customStyle="1" w:styleId="CommentSubjectChar">
    <w:name w:val="Comment Subject Char"/>
    <w:basedOn w:val="CommentTextChar"/>
    <w:link w:val="CommentSubject"/>
    <w:uiPriority w:val="99"/>
    <w:semiHidden/>
    <w:rsid w:val="006A3B6A"/>
    <w:rPr>
      <w:b/>
      <w:bCs/>
      <w:sz w:val="20"/>
      <w:szCs w:val="20"/>
    </w:rPr>
  </w:style>
  <w:style w:type="table" w:styleId="TableGrid">
    <w:name w:val="Table Grid"/>
    <w:basedOn w:val="TableNormal"/>
    <w:uiPriority w:val="59"/>
    <w:rsid w:val="00550B3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B3D"/>
  </w:style>
  <w:style w:type="paragraph" w:styleId="Footer">
    <w:name w:val="footer"/>
    <w:basedOn w:val="Normal"/>
    <w:link w:val="FooterChar"/>
    <w:uiPriority w:val="99"/>
    <w:unhideWhenUsed/>
    <w:rsid w:val="00550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B3D"/>
  </w:style>
  <w:style w:type="character" w:customStyle="1" w:styleId="UnresolvedMention2">
    <w:name w:val="Unresolved Mention2"/>
    <w:basedOn w:val="DefaultParagraphFont"/>
    <w:uiPriority w:val="99"/>
    <w:semiHidden/>
    <w:unhideWhenUsed/>
    <w:rsid w:val="0023154E"/>
    <w:rPr>
      <w:color w:val="605E5C"/>
      <w:shd w:val="clear" w:color="auto" w:fill="E1DFDD"/>
    </w:rPr>
  </w:style>
  <w:style w:type="paragraph" w:styleId="Revision">
    <w:name w:val="Revision"/>
    <w:hidden/>
    <w:uiPriority w:val="99"/>
    <w:semiHidden/>
    <w:rsid w:val="0038098D"/>
    <w:pPr>
      <w:spacing w:after="0" w:line="240" w:lineRule="auto"/>
    </w:pPr>
  </w:style>
  <w:style w:type="character" w:customStyle="1" w:styleId="UnresolvedMention3">
    <w:name w:val="Unresolved Mention3"/>
    <w:basedOn w:val="DefaultParagraphFont"/>
    <w:uiPriority w:val="99"/>
    <w:semiHidden/>
    <w:unhideWhenUsed/>
    <w:rsid w:val="002711D7"/>
    <w:rPr>
      <w:color w:val="605E5C"/>
      <w:shd w:val="clear" w:color="auto" w:fill="E1DFDD"/>
    </w:rPr>
  </w:style>
  <w:style w:type="paragraph" w:customStyle="1" w:styleId="Default">
    <w:name w:val="Default"/>
    <w:rsid w:val="00CC503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6822">
      <w:bodyDiv w:val="1"/>
      <w:marLeft w:val="0"/>
      <w:marRight w:val="0"/>
      <w:marTop w:val="0"/>
      <w:marBottom w:val="0"/>
      <w:divBdr>
        <w:top w:val="none" w:sz="0" w:space="0" w:color="auto"/>
        <w:left w:val="none" w:sz="0" w:space="0" w:color="auto"/>
        <w:bottom w:val="none" w:sz="0" w:space="0" w:color="auto"/>
        <w:right w:val="none" w:sz="0" w:space="0" w:color="auto"/>
      </w:divBdr>
    </w:div>
    <w:div w:id="92019722">
      <w:bodyDiv w:val="1"/>
      <w:marLeft w:val="0"/>
      <w:marRight w:val="0"/>
      <w:marTop w:val="0"/>
      <w:marBottom w:val="0"/>
      <w:divBdr>
        <w:top w:val="none" w:sz="0" w:space="0" w:color="auto"/>
        <w:left w:val="none" w:sz="0" w:space="0" w:color="auto"/>
        <w:bottom w:val="none" w:sz="0" w:space="0" w:color="auto"/>
        <w:right w:val="none" w:sz="0" w:space="0" w:color="auto"/>
      </w:divBdr>
    </w:div>
    <w:div w:id="151483149">
      <w:bodyDiv w:val="1"/>
      <w:marLeft w:val="0"/>
      <w:marRight w:val="0"/>
      <w:marTop w:val="0"/>
      <w:marBottom w:val="0"/>
      <w:divBdr>
        <w:top w:val="none" w:sz="0" w:space="0" w:color="auto"/>
        <w:left w:val="none" w:sz="0" w:space="0" w:color="auto"/>
        <w:bottom w:val="none" w:sz="0" w:space="0" w:color="auto"/>
        <w:right w:val="none" w:sz="0" w:space="0" w:color="auto"/>
      </w:divBdr>
    </w:div>
    <w:div w:id="157574203">
      <w:bodyDiv w:val="1"/>
      <w:marLeft w:val="0"/>
      <w:marRight w:val="0"/>
      <w:marTop w:val="0"/>
      <w:marBottom w:val="0"/>
      <w:divBdr>
        <w:top w:val="none" w:sz="0" w:space="0" w:color="auto"/>
        <w:left w:val="none" w:sz="0" w:space="0" w:color="auto"/>
        <w:bottom w:val="none" w:sz="0" w:space="0" w:color="auto"/>
        <w:right w:val="none" w:sz="0" w:space="0" w:color="auto"/>
      </w:divBdr>
    </w:div>
    <w:div w:id="164052928">
      <w:bodyDiv w:val="1"/>
      <w:marLeft w:val="0"/>
      <w:marRight w:val="0"/>
      <w:marTop w:val="0"/>
      <w:marBottom w:val="0"/>
      <w:divBdr>
        <w:top w:val="none" w:sz="0" w:space="0" w:color="auto"/>
        <w:left w:val="none" w:sz="0" w:space="0" w:color="auto"/>
        <w:bottom w:val="none" w:sz="0" w:space="0" w:color="auto"/>
        <w:right w:val="none" w:sz="0" w:space="0" w:color="auto"/>
      </w:divBdr>
    </w:div>
    <w:div w:id="229270643">
      <w:bodyDiv w:val="1"/>
      <w:marLeft w:val="0"/>
      <w:marRight w:val="0"/>
      <w:marTop w:val="0"/>
      <w:marBottom w:val="0"/>
      <w:divBdr>
        <w:top w:val="none" w:sz="0" w:space="0" w:color="auto"/>
        <w:left w:val="none" w:sz="0" w:space="0" w:color="auto"/>
        <w:bottom w:val="none" w:sz="0" w:space="0" w:color="auto"/>
        <w:right w:val="none" w:sz="0" w:space="0" w:color="auto"/>
      </w:divBdr>
    </w:div>
    <w:div w:id="244530703">
      <w:bodyDiv w:val="1"/>
      <w:marLeft w:val="0"/>
      <w:marRight w:val="0"/>
      <w:marTop w:val="0"/>
      <w:marBottom w:val="0"/>
      <w:divBdr>
        <w:top w:val="none" w:sz="0" w:space="0" w:color="auto"/>
        <w:left w:val="none" w:sz="0" w:space="0" w:color="auto"/>
        <w:bottom w:val="none" w:sz="0" w:space="0" w:color="auto"/>
        <w:right w:val="none" w:sz="0" w:space="0" w:color="auto"/>
      </w:divBdr>
    </w:div>
    <w:div w:id="249436167">
      <w:bodyDiv w:val="1"/>
      <w:marLeft w:val="0"/>
      <w:marRight w:val="0"/>
      <w:marTop w:val="0"/>
      <w:marBottom w:val="0"/>
      <w:divBdr>
        <w:top w:val="none" w:sz="0" w:space="0" w:color="auto"/>
        <w:left w:val="none" w:sz="0" w:space="0" w:color="auto"/>
        <w:bottom w:val="none" w:sz="0" w:space="0" w:color="auto"/>
        <w:right w:val="none" w:sz="0" w:space="0" w:color="auto"/>
      </w:divBdr>
    </w:div>
    <w:div w:id="328944166">
      <w:bodyDiv w:val="1"/>
      <w:marLeft w:val="0"/>
      <w:marRight w:val="0"/>
      <w:marTop w:val="0"/>
      <w:marBottom w:val="0"/>
      <w:divBdr>
        <w:top w:val="none" w:sz="0" w:space="0" w:color="auto"/>
        <w:left w:val="none" w:sz="0" w:space="0" w:color="auto"/>
        <w:bottom w:val="none" w:sz="0" w:space="0" w:color="auto"/>
        <w:right w:val="none" w:sz="0" w:space="0" w:color="auto"/>
      </w:divBdr>
    </w:div>
    <w:div w:id="336882415">
      <w:bodyDiv w:val="1"/>
      <w:marLeft w:val="0"/>
      <w:marRight w:val="0"/>
      <w:marTop w:val="0"/>
      <w:marBottom w:val="0"/>
      <w:divBdr>
        <w:top w:val="none" w:sz="0" w:space="0" w:color="auto"/>
        <w:left w:val="none" w:sz="0" w:space="0" w:color="auto"/>
        <w:bottom w:val="none" w:sz="0" w:space="0" w:color="auto"/>
        <w:right w:val="none" w:sz="0" w:space="0" w:color="auto"/>
      </w:divBdr>
    </w:div>
    <w:div w:id="366489203">
      <w:bodyDiv w:val="1"/>
      <w:marLeft w:val="0"/>
      <w:marRight w:val="0"/>
      <w:marTop w:val="0"/>
      <w:marBottom w:val="0"/>
      <w:divBdr>
        <w:top w:val="none" w:sz="0" w:space="0" w:color="auto"/>
        <w:left w:val="none" w:sz="0" w:space="0" w:color="auto"/>
        <w:bottom w:val="none" w:sz="0" w:space="0" w:color="auto"/>
        <w:right w:val="none" w:sz="0" w:space="0" w:color="auto"/>
      </w:divBdr>
    </w:div>
    <w:div w:id="390156683">
      <w:bodyDiv w:val="1"/>
      <w:marLeft w:val="0"/>
      <w:marRight w:val="0"/>
      <w:marTop w:val="0"/>
      <w:marBottom w:val="0"/>
      <w:divBdr>
        <w:top w:val="none" w:sz="0" w:space="0" w:color="auto"/>
        <w:left w:val="none" w:sz="0" w:space="0" w:color="auto"/>
        <w:bottom w:val="none" w:sz="0" w:space="0" w:color="auto"/>
        <w:right w:val="none" w:sz="0" w:space="0" w:color="auto"/>
      </w:divBdr>
    </w:div>
    <w:div w:id="404497207">
      <w:bodyDiv w:val="1"/>
      <w:marLeft w:val="0"/>
      <w:marRight w:val="0"/>
      <w:marTop w:val="0"/>
      <w:marBottom w:val="0"/>
      <w:divBdr>
        <w:top w:val="none" w:sz="0" w:space="0" w:color="auto"/>
        <w:left w:val="none" w:sz="0" w:space="0" w:color="auto"/>
        <w:bottom w:val="none" w:sz="0" w:space="0" w:color="auto"/>
        <w:right w:val="none" w:sz="0" w:space="0" w:color="auto"/>
      </w:divBdr>
    </w:div>
    <w:div w:id="412237804">
      <w:bodyDiv w:val="1"/>
      <w:marLeft w:val="0"/>
      <w:marRight w:val="0"/>
      <w:marTop w:val="0"/>
      <w:marBottom w:val="0"/>
      <w:divBdr>
        <w:top w:val="none" w:sz="0" w:space="0" w:color="auto"/>
        <w:left w:val="none" w:sz="0" w:space="0" w:color="auto"/>
        <w:bottom w:val="none" w:sz="0" w:space="0" w:color="auto"/>
        <w:right w:val="none" w:sz="0" w:space="0" w:color="auto"/>
      </w:divBdr>
    </w:div>
    <w:div w:id="488399631">
      <w:bodyDiv w:val="1"/>
      <w:marLeft w:val="0"/>
      <w:marRight w:val="0"/>
      <w:marTop w:val="0"/>
      <w:marBottom w:val="0"/>
      <w:divBdr>
        <w:top w:val="none" w:sz="0" w:space="0" w:color="auto"/>
        <w:left w:val="none" w:sz="0" w:space="0" w:color="auto"/>
        <w:bottom w:val="none" w:sz="0" w:space="0" w:color="auto"/>
        <w:right w:val="none" w:sz="0" w:space="0" w:color="auto"/>
      </w:divBdr>
    </w:div>
    <w:div w:id="511069629">
      <w:bodyDiv w:val="1"/>
      <w:marLeft w:val="0"/>
      <w:marRight w:val="0"/>
      <w:marTop w:val="0"/>
      <w:marBottom w:val="0"/>
      <w:divBdr>
        <w:top w:val="none" w:sz="0" w:space="0" w:color="auto"/>
        <w:left w:val="none" w:sz="0" w:space="0" w:color="auto"/>
        <w:bottom w:val="none" w:sz="0" w:space="0" w:color="auto"/>
        <w:right w:val="none" w:sz="0" w:space="0" w:color="auto"/>
      </w:divBdr>
    </w:div>
    <w:div w:id="567231253">
      <w:bodyDiv w:val="1"/>
      <w:marLeft w:val="0"/>
      <w:marRight w:val="0"/>
      <w:marTop w:val="0"/>
      <w:marBottom w:val="0"/>
      <w:divBdr>
        <w:top w:val="none" w:sz="0" w:space="0" w:color="auto"/>
        <w:left w:val="none" w:sz="0" w:space="0" w:color="auto"/>
        <w:bottom w:val="none" w:sz="0" w:space="0" w:color="auto"/>
        <w:right w:val="none" w:sz="0" w:space="0" w:color="auto"/>
      </w:divBdr>
    </w:div>
    <w:div w:id="698705842">
      <w:bodyDiv w:val="1"/>
      <w:marLeft w:val="0"/>
      <w:marRight w:val="0"/>
      <w:marTop w:val="0"/>
      <w:marBottom w:val="0"/>
      <w:divBdr>
        <w:top w:val="none" w:sz="0" w:space="0" w:color="auto"/>
        <w:left w:val="none" w:sz="0" w:space="0" w:color="auto"/>
        <w:bottom w:val="none" w:sz="0" w:space="0" w:color="auto"/>
        <w:right w:val="none" w:sz="0" w:space="0" w:color="auto"/>
      </w:divBdr>
    </w:div>
    <w:div w:id="705302159">
      <w:bodyDiv w:val="1"/>
      <w:marLeft w:val="0"/>
      <w:marRight w:val="0"/>
      <w:marTop w:val="0"/>
      <w:marBottom w:val="0"/>
      <w:divBdr>
        <w:top w:val="none" w:sz="0" w:space="0" w:color="auto"/>
        <w:left w:val="none" w:sz="0" w:space="0" w:color="auto"/>
        <w:bottom w:val="none" w:sz="0" w:space="0" w:color="auto"/>
        <w:right w:val="none" w:sz="0" w:space="0" w:color="auto"/>
      </w:divBdr>
    </w:div>
    <w:div w:id="733434437">
      <w:bodyDiv w:val="1"/>
      <w:marLeft w:val="0"/>
      <w:marRight w:val="0"/>
      <w:marTop w:val="0"/>
      <w:marBottom w:val="0"/>
      <w:divBdr>
        <w:top w:val="none" w:sz="0" w:space="0" w:color="auto"/>
        <w:left w:val="none" w:sz="0" w:space="0" w:color="auto"/>
        <w:bottom w:val="none" w:sz="0" w:space="0" w:color="auto"/>
        <w:right w:val="none" w:sz="0" w:space="0" w:color="auto"/>
      </w:divBdr>
      <w:divsChild>
        <w:div w:id="217130704">
          <w:marLeft w:val="274"/>
          <w:marRight w:val="0"/>
          <w:marTop w:val="45"/>
          <w:marBottom w:val="0"/>
          <w:divBdr>
            <w:top w:val="none" w:sz="0" w:space="0" w:color="auto"/>
            <w:left w:val="none" w:sz="0" w:space="0" w:color="auto"/>
            <w:bottom w:val="none" w:sz="0" w:space="0" w:color="auto"/>
            <w:right w:val="none" w:sz="0" w:space="0" w:color="auto"/>
          </w:divBdr>
        </w:div>
        <w:div w:id="797379353">
          <w:marLeft w:val="274"/>
          <w:marRight w:val="0"/>
          <w:marTop w:val="45"/>
          <w:marBottom w:val="0"/>
          <w:divBdr>
            <w:top w:val="none" w:sz="0" w:space="0" w:color="auto"/>
            <w:left w:val="none" w:sz="0" w:space="0" w:color="auto"/>
            <w:bottom w:val="none" w:sz="0" w:space="0" w:color="auto"/>
            <w:right w:val="none" w:sz="0" w:space="0" w:color="auto"/>
          </w:divBdr>
        </w:div>
        <w:div w:id="1026059537">
          <w:marLeft w:val="274"/>
          <w:marRight w:val="0"/>
          <w:marTop w:val="45"/>
          <w:marBottom w:val="0"/>
          <w:divBdr>
            <w:top w:val="none" w:sz="0" w:space="0" w:color="auto"/>
            <w:left w:val="none" w:sz="0" w:space="0" w:color="auto"/>
            <w:bottom w:val="none" w:sz="0" w:space="0" w:color="auto"/>
            <w:right w:val="none" w:sz="0" w:space="0" w:color="auto"/>
          </w:divBdr>
        </w:div>
        <w:div w:id="1341271599">
          <w:marLeft w:val="274"/>
          <w:marRight w:val="0"/>
          <w:marTop w:val="45"/>
          <w:marBottom w:val="0"/>
          <w:divBdr>
            <w:top w:val="none" w:sz="0" w:space="0" w:color="auto"/>
            <w:left w:val="none" w:sz="0" w:space="0" w:color="auto"/>
            <w:bottom w:val="none" w:sz="0" w:space="0" w:color="auto"/>
            <w:right w:val="none" w:sz="0" w:space="0" w:color="auto"/>
          </w:divBdr>
        </w:div>
        <w:div w:id="1827431429">
          <w:marLeft w:val="274"/>
          <w:marRight w:val="0"/>
          <w:marTop w:val="45"/>
          <w:marBottom w:val="0"/>
          <w:divBdr>
            <w:top w:val="none" w:sz="0" w:space="0" w:color="auto"/>
            <w:left w:val="none" w:sz="0" w:space="0" w:color="auto"/>
            <w:bottom w:val="none" w:sz="0" w:space="0" w:color="auto"/>
            <w:right w:val="none" w:sz="0" w:space="0" w:color="auto"/>
          </w:divBdr>
        </w:div>
        <w:div w:id="2119326360">
          <w:marLeft w:val="274"/>
          <w:marRight w:val="0"/>
          <w:marTop w:val="45"/>
          <w:marBottom w:val="0"/>
          <w:divBdr>
            <w:top w:val="none" w:sz="0" w:space="0" w:color="auto"/>
            <w:left w:val="none" w:sz="0" w:space="0" w:color="auto"/>
            <w:bottom w:val="none" w:sz="0" w:space="0" w:color="auto"/>
            <w:right w:val="none" w:sz="0" w:space="0" w:color="auto"/>
          </w:divBdr>
        </w:div>
      </w:divsChild>
    </w:div>
    <w:div w:id="763695905">
      <w:bodyDiv w:val="1"/>
      <w:marLeft w:val="0"/>
      <w:marRight w:val="0"/>
      <w:marTop w:val="0"/>
      <w:marBottom w:val="0"/>
      <w:divBdr>
        <w:top w:val="none" w:sz="0" w:space="0" w:color="auto"/>
        <w:left w:val="none" w:sz="0" w:space="0" w:color="auto"/>
        <w:bottom w:val="none" w:sz="0" w:space="0" w:color="auto"/>
        <w:right w:val="none" w:sz="0" w:space="0" w:color="auto"/>
      </w:divBdr>
      <w:divsChild>
        <w:div w:id="132259259">
          <w:marLeft w:val="806"/>
          <w:marRight w:val="0"/>
          <w:marTop w:val="45"/>
          <w:marBottom w:val="0"/>
          <w:divBdr>
            <w:top w:val="none" w:sz="0" w:space="0" w:color="auto"/>
            <w:left w:val="none" w:sz="0" w:space="0" w:color="auto"/>
            <w:bottom w:val="none" w:sz="0" w:space="0" w:color="auto"/>
            <w:right w:val="none" w:sz="0" w:space="0" w:color="auto"/>
          </w:divBdr>
        </w:div>
        <w:div w:id="251473544">
          <w:marLeft w:val="806"/>
          <w:marRight w:val="0"/>
          <w:marTop w:val="45"/>
          <w:marBottom w:val="0"/>
          <w:divBdr>
            <w:top w:val="none" w:sz="0" w:space="0" w:color="auto"/>
            <w:left w:val="none" w:sz="0" w:space="0" w:color="auto"/>
            <w:bottom w:val="none" w:sz="0" w:space="0" w:color="auto"/>
            <w:right w:val="none" w:sz="0" w:space="0" w:color="auto"/>
          </w:divBdr>
        </w:div>
        <w:div w:id="874197530">
          <w:marLeft w:val="806"/>
          <w:marRight w:val="0"/>
          <w:marTop w:val="45"/>
          <w:marBottom w:val="0"/>
          <w:divBdr>
            <w:top w:val="none" w:sz="0" w:space="0" w:color="auto"/>
            <w:left w:val="none" w:sz="0" w:space="0" w:color="auto"/>
            <w:bottom w:val="none" w:sz="0" w:space="0" w:color="auto"/>
            <w:right w:val="none" w:sz="0" w:space="0" w:color="auto"/>
          </w:divBdr>
        </w:div>
        <w:div w:id="899705383">
          <w:marLeft w:val="806"/>
          <w:marRight w:val="0"/>
          <w:marTop w:val="45"/>
          <w:marBottom w:val="0"/>
          <w:divBdr>
            <w:top w:val="none" w:sz="0" w:space="0" w:color="auto"/>
            <w:left w:val="none" w:sz="0" w:space="0" w:color="auto"/>
            <w:bottom w:val="none" w:sz="0" w:space="0" w:color="auto"/>
            <w:right w:val="none" w:sz="0" w:space="0" w:color="auto"/>
          </w:divBdr>
        </w:div>
        <w:div w:id="995110762">
          <w:marLeft w:val="274"/>
          <w:marRight w:val="0"/>
          <w:marTop w:val="45"/>
          <w:marBottom w:val="0"/>
          <w:divBdr>
            <w:top w:val="none" w:sz="0" w:space="0" w:color="auto"/>
            <w:left w:val="none" w:sz="0" w:space="0" w:color="auto"/>
            <w:bottom w:val="none" w:sz="0" w:space="0" w:color="auto"/>
            <w:right w:val="none" w:sz="0" w:space="0" w:color="auto"/>
          </w:divBdr>
        </w:div>
        <w:div w:id="1006520413">
          <w:marLeft w:val="806"/>
          <w:marRight w:val="0"/>
          <w:marTop w:val="45"/>
          <w:marBottom w:val="0"/>
          <w:divBdr>
            <w:top w:val="none" w:sz="0" w:space="0" w:color="auto"/>
            <w:left w:val="none" w:sz="0" w:space="0" w:color="auto"/>
            <w:bottom w:val="none" w:sz="0" w:space="0" w:color="auto"/>
            <w:right w:val="none" w:sz="0" w:space="0" w:color="auto"/>
          </w:divBdr>
        </w:div>
        <w:div w:id="1026519185">
          <w:marLeft w:val="806"/>
          <w:marRight w:val="0"/>
          <w:marTop w:val="45"/>
          <w:marBottom w:val="0"/>
          <w:divBdr>
            <w:top w:val="none" w:sz="0" w:space="0" w:color="auto"/>
            <w:left w:val="none" w:sz="0" w:space="0" w:color="auto"/>
            <w:bottom w:val="none" w:sz="0" w:space="0" w:color="auto"/>
            <w:right w:val="none" w:sz="0" w:space="0" w:color="auto"/>
          </w:divBdr>
        </w:div>
        <w:div w:id="1048334392">
          <w:marLeft w:val="806"/>
          <w:marRight w:val="0"/>
          <w:marTop w:val="45"/>
          <w:marBottom w:val="0"/>
          <w:divBdr>
            <w:top w:val="none" w:sz="0" w:space="0" w:color="auto"/>
            <w:left w:val="none" w:sz="0" w:space="0" w:color="auto"/>
            <w:bottom w:val="none" w:sz="0" w:space="0" w:color="auto"/>
            <w:right w:val="none" w:sz="0" w:space="0" w:color="auto"/>
          </w:divBdr>
        </w:div>
        <w:div w:id="1169446771">
          <w:marLeft w:val="274"/>
          <w:marRight w:val="0"/>
          <w:marTop w:val="45"/>
          <w:marBottom w:val="0"/>
          <w:divBdr>
            <w:top w:val="none" w:sz="0" w:space="0" w:color="auto"/>
            <w:left w:val="none" w:sz="0" w:space="0" w:color="auto"/>
            <w:bottom w:val="none" w:sz="0" w:space="0" w:color="auto"/>
            <w:right w:val="none" w:sz="0" w:space="0" w:color="auto"/>
          </w:divBdr>
        </w:div>
        <w:div w:id="1402411679">
          <w:marLeft w:val="274"/>
          <w:marRight w:val="0"/>
          <w:marTop w:val="45"/>
          <w:marBottom w:val="0"/>
          <w:divBdr>
            <w:top w:val="none" w:sz="0" w:space="0" w:color="auto"/>
            <w:left w:val="none" w:sz="0" w:space="0" w:color="auto"/>
            <w:bottom w:val="none" w:sz="0" w:space="0" w:color="auto"/>
            <w:right w:val="none" w:sz="0" w:space="0" w:color="auto"/>
          </w:divBdr>
        </w:div>
        <w:div w:id="1550994619">
          <w:marLeft w:val="806"/>
          <w:marRight w:val="0"/>
          <w:marTop w:val="45"/>
          <w:marBottom w:val="0"/>
          <w:divBdr>
            <w:top w:val="none" w:sz="0" w:space="0" w:color="auto"/>
            <w:left w:val="none" w:sz="0" w:space="0" w:color="auto"/>
            <w:bottom w:val="none" w:sz="0" w:space="0" w:color="auto"/>
            <w:right w:val="none" w:sz="0" w:space="0" w:color="auto"/>
          </w:divBdr>
        </w:div>
        <w:div w:id="1728646839">
          <w:marLeft w:val="806"/>
          <w:marRight w:val="0"/>
          <w:marTop w:val="45"/>
          <w:marBottom w:val="0"/>
          <w:divBdr>
            <w:top w:val="none" w:sz="0" w:space="0" w:color="auto"/>
            <w:left w:val="none" w:sz="0" w:space="0" w:color="auto"/>
            <w:bottom w:val="none" w:sz="0" w:space="0" w:color="auto"/>
            <w:right w:val="none" w:sz="0" w:space="0" w:color="auto"/>
          </w:divBdr>
        </w:div>
        <w:div w:id="1768311182">
          <w:marLeft w:val="806"/>
          <w:marRight w:val="0"/>
          <w:marTop w:val="45"/>
          <w:marBottom w:val="0"/>
          <w:divBdr>
            <w:top w:val="none" w:sz="0" w:space="0" w:color="auto"/>
            <w:left w:val="none" w:sz="0" w:space="0" w:color="auto"/>
            <w:bottom w:val="none" w:sz="0" w:space="0" w:color="auto"/>
            <w:right w:val="none" w:sz="0" w:space="0" w:color="auto"/>
          </w:divBdr>
        </w:div>
        <w:div w:id="1826972831">
          <w:marLeft w:val="806"/>
          <w:marRight w:val="0"/>
          <w:marTop w:val="45"/>
          <w:marBottom w:val="0"/>
          <w:divBdr>
            <w:top w:val="none" w:sz="0" w:space="0" w:color="auto"/>
            <w:left w:val="none" w:sz="0" w:space="0" w:color="auto"/>
            <w:bottom w:val="none" w:sz="0" w:space="0" w:color="auto"/>
            <w:right w:val="none" w:sz="0" w:space="0" w:color="auto"/>
          </w:divBdr>
        </w:div>
        <w:div w:id="1833183186">
          <w:marLeft w:val="806"/>
          <w:marRight w:val="0"/>
          <w:marTop w:val="45"/>
          <w:marBottom w:val="0"/>
          <w:divBdr>
            <w:top w:val="none" w:sz="0" w:space="0" w:color="auto"/>
            <w:left w:val="none" w:sz="0" w:space="0" w:color="auto"/>
            <w:bottom w:val="none" w:sz="0" w:space="0" w:color="auto"/>
            <w:right w:val="none" w:sz="0" w:space="0" w:color="auto"/>
          </w:divBdr>
        </w:div>
        <w:div w:id="1888907501">
          <w:marLeft w:val="274"/>
          <w:marRight w:val="0"/>
          <w:marTop w:val="45"/>
          <w:marBottom w:val="0"/>
          <w:divBdr>
            <w:top w:val="none" w:sz="0" w:space="0" w:color="auto"/>
            <w:left w:val="none" w:sz="0" w:space="0" w:color="auto"/>
            <w:bottom w:val="none" w:sz="0" w:space="0" w:color="auto"/>
            <w:right w:val="none" w:sz="0" w:space="0" w:color="auto"/>
          </w:divBdr>
        </w:div>
        <w:div w:id="1962224528">
          <w:marLeft w:val="274"/>
          <w:marRight w:val="0"/>
          <w:marTop w:val="45"/>
          <w:marBottom w:val="0"/>
          <w:divBdr>
            <w:top w:val="none" w:sz="0" w:space="0" w:color="auto"/>
            <w:left w:val="none" w:sz="0" w:space="0" w:color="auto"/>
            <w:bottom w:val="none" w:sz="0" w:space="0" w:color="auto"/>
            <w:right w:val="none" w:sz="0" w:space="0" w:color="auto"/>
          </w:divBdr>
        </w:div>
      </w:divsChild>
    </w:div>
    <w:div w:id="807405753">
      <w:bodyDiv w:val="1"/>
      <w:marLeft w:val="0"/>
      <w:marRight w:val="0"/>
      <w:marTop w:val="0"/>
      <w:marBottom w:val="0"/>
      <w:divBdr>
        <w:top w:val="none" w:sz="0" w:space="0" w:color="auto"/>
        <w:left w:val="none" w:sz="0" w:space="0" w:color="auto"/>
        <w:bottom w:val="none" w:sz="0" w:space="0" w:color="auto"/>
        <w:right w:val="none" w:sz="0" w:space="0" w:color="auto"/>
      </w:divBdr>
    </w:div>
    <w:div w:id="814949558">
      <w:bodyDiv w:val="1"/>
      <w:marLeft w:val="0"/>
      <w:marRight w:val="0"/>
      <w:marTop w:val="0"/>
      <w:marBottom w:val="0"/>
      <w:divBdr>
        <w:top w:val="none" w:sz="0" w:space="0" w:color="auto"/>
        <w:left w:val="none" w:sz="0" w:space="0" w:color="auto"/>
        <w:bottom w:val="none" w:sz="0" w:space="0" w:color="auto"/>
        <w:right w:val="none" w:sz="0" w:space="0" w:color="auto"/>
      </w:divBdr>
      <w:divsChild>
        <w:div w:id="73942979">
          <w:marLeft w:val="274"/>
          <w:marRight w:val="0"/>
          <w:marTop w:val="45"/>
          <w:marBottom w:val="0"/>
          <w:divBdr>
            <w:top w:val="none" w:sz="0" w:space="0" w:color="auto"/>
            <w:left w:val="none" w:sz="0" w:space="0" w:color="auto"/>
            <w:bottom w:val="none" w:sz="0" w:space="0" w:color="auto"/>
            <w:right w:val="none" w:sz="0" w:space="0" w:color="auto"/>
          </w:divBdr>
        </w:div>
        <w:div w:id="110825255">
          <w:marLeft w:val="274"/>
          <w:marRight w:val="0"/>
          <w:marTop w:val="45"/>
          <w:marBottom w:val="0"/>
          <w:divBdr>
            <w:top w:val="none" w:sz="0" w:space="0" w:color="auto"/>
            <w:left w:val="none" w:sz="0" w:space="0" w:color="auto"/>
            <w:bottom w:val="none" w:sz="0" w:space="0" w:color="auto"/>
            <w:right w:val="none" w:sz="0" w:space="0" w:color="auto"/>
          </w:divBdr>
        </w:div>
        <w:div w:id="349339224">
          <w:marLeft w:val="274"/>
          <w:marRight w:val="0"/>
          <w:marTop w:val="45"/>
          <w:marBottom w:val="0"/>
          <w:divBdr>
            <w:top w:val="none" w:sz="0" w:space="0" w:color="auto"/>
            <w:left w:val="none" w:sz="0" w:space="0" w:color="auto"/>
            <w:bottom w:val="none" w:sz="0" w:space="0" w:color="auto"/>
            <w:right w:val="none" w:sz="0" w:space="0" w:color="auto"/>
          </w:divBdr>
        </w:div>
        <w:div w:id="621690694">
          <w:marLeft w:val="274"/>
          <w:marRight w:val="0"/>
          <w:marTop w:val="45"/>
          <w:marBottom w:val="0"/>
          <w:divBdr>
            <w:top w:val="none" w:sz="0" w:space="0" w:color="auto"/>
            <w:left w:val="none" w:sz="0" w:space="0" w:color="auto"/>
            <w:bottom w:val="none" w:sz="0" w:space="0" w:color="auto"/>
            <w:right w:val="none" w:sz="0" w:space="0" w:color="auto"/>
          </w:divBdr>
        </w:div>
        <w:div w:id="1396011521">
          <w:marLeft w:val="274"/>
          <w:marRight w:val="0"/>
          <w:marTop w:val="45"/>
          <w:marBottom w:val="0"/>
          <w:divBdr>
            <w:top w:val="none" w:sz="0" w:space="0" w:color="auto"/>
            <w:left w:val="none" w:sz="0" w:space="0" w:color="auto"/>
            <w:bottom w:val="none" w:sz="0" w:space="0" w:color="auto"/>
            <w:right w:val="none" w:sz="0" w:space="0" w:color="auto"/>
          </w:divBdr>
        </w:div>
        <w:div w:id="1838810724">
          <w:marLeft w:val="274"/>
          <w:marRight w:val="0"/>
          <w:marTop w:val="45"/>
          <w:marBottom w:val="0"/>
          <w:divBdr>
            <w:top w:val="none" w:sz="0" w:space="0" w:color="auto"/>
            <w:left w:val="none" w:sz="0" w:space="0" w:color="auto"/>
            <w:bottom w:val="none" w:sz="0" w:space="0" w:color="auto"/>
            <w:right w:val="none" w:sz="0" w:space="0" w:color="auto"/>
          </w:divBdr>
        </w:div>
      </w:divsChild>
    </w:div>
    <w:div w:id="832139220">
      <w:bodyDiv w:val="1"/>
      <w:marLeft w:val="0"/>
      <w:marRight w:val="0"/>
      <w:marTop w:val="0"/>
      <w:marBottom w:val="0"/>
      <w:divBdr>
        <w:top w:val="none" w:sz="0" w:space="0" w:color="auto"/>
        <w:left w:val="none" w:sz="0" w:space="0" w:color="auto"/>
        <w:bottom w:val="none" w:sz="0" w:space="0" w:color="auto"/>
        <w:right w:val="none" w:sz="0" w:space="0" w:color="auto"/>
      </w:divBdr>
    </w:div>
    <w:div w:id="874925437">
      <w:bodyDiv w:val="1"/>
      <w:marLeft w:val="0"/>
      <w:marRight w:val="0"/>
      <w:marTop w:val="0"/>
      <w:marBottom w:val="0"/>
      <w:divBdr>
        <w:top w:val="none" w:sz="0" w:space="0" w:color="auto"/>
        <w:left w:val="none" w:sz="0" w:space="0" w:color="auto"/>
        <w:bottom w:val="none" w:sz="0" w:space="0" w:color="auto"/>
        <w:right w:val="none" w:sz="0" w:space="0" w:color="auto"/>
      </w:divBdr>
    </w:div>
    <w:div w:id="903369981">
      <w:bodyDiv w:val="1"/>
      <w:marLeft w:val="0"/>
      <w:marRight w:val="0"/>
      <w:marTop w:val="0"/>
      <w:marBottom w:val="0"/>
      <w:divBdr>
        <w:top w:val="none" w:sz="0" w:space="0" w:color="auto"/>
        <w:left w:val="none" w:sz="0" w:space="0" w:color="auto"/>
        <w:bottom w:val="none" w:sz="0" w:space="0" w:color="auto"/>
        <w:right w:val="none" w:sz="0" w:space="0" w:color="auto"/>
      </w:divBdr>
    </w:div>
    <w:div w:id="933854096">
      <w:bodyDiv w:val="1"/>
      <w:marLeft w:val="0"/>
      <w:marRight w:val="0"/>
      <w:marTop w:val="0"/>
      <w:marBottom w:val="0"/>
      <w:divBdr>
        <w:top w:val="none" w:sz="0" w:space="0" w:color="auto"/>
        <w:left w:val="none" w:sz="0" w:space="0" w:color="auto"/>
        <w:bottom w:val="none" w:sz="0" w:space="0" w:color="auto"/>
        <w:right w:val="none" w:sz="0" w:space="0" w:color="auto"/>
      </w:divBdr>
      <w:divsChild>
        <w:div w:id="13844281">
          <w:marLeft w:val="1354"/>
          <w:marRight w:val="0"/>
          <w:marTop w:val="75"/>
          <w:marBottom w:val="0"/>
          <w:divBdr>
            <w:top w:val="none" w:sz="0" w:space="0" w:color="auto"/>
            <w:left w:val="none" w:sz="0" w:space="0" w:color="auto"/>
            <w:bottom w:val="none" w:sz="0" w:space="0" w:color="auto"/>
            <w:right w:val="none" w:sz="0" w:space="0" w:color="auto"/>
          </w:divBdr>
        </w:div>
        <w:div w:id="175003718">
          <w:marLeft w:val="1354"/>
          <w:marRight w:val="0"/>
          <w:marTop w:val="75"/>
          <w:marBottom w:val="0"/>
          <w:divBdr>
            <w:top w:val="none" w:sz="0" w:space="0" w:color="auto"/>
            <w:left w:val="none" w:sz="0" w:space="0" w:color="auto"/>
            <w:bottom w:val="none" w:sz="0" w:space="0" w:color="auto"/>
            <w:right w:val="none" w:sz="0" w:space="0" w:color="auto"/>
          </w:divBdr>
        </w:div>
        <w:div w:id="537284719">
          <w:marLeft w:val="274"/>
          <w:marRight w:val="0"/>
          <w:marTop w:val="150"/>
          <w:marBottom w:val="0"/>
          <w:divBdr>
            <w:top w:val="none" w:sz="0" w:space="0" w:color="auto"/>
            <w:left w:val="none" w:sz="0" w:space="0" w:color="auto"/>
            <w:bottom w:val="none" w:sz="0" w:space="0" w:color="auto"/>
            <w:right w:val="none" w:sz="0" w:space="0" w:color="auto"/>
          </w:divBdr>
        </w:div>
        <w:div w:id="723678715">
          <w:marLeft w:val="1354"/>
          <w:marRight w:val="0"/>
          <w:marTop w:val="75"/>
          <w:marBottom w:val="0"/>
          <w:divBdr>
            <w:top w:val="none" w:sz="0" w:space="0" w:color="auto"/>
            <w:left w:val="none" w:sz="0" w:space="0" w:color="auto"/>
            <w:bottom w:val="none" w:sz="0" w:space="0" w:color="auto"/>
            <w:right w:val="none" w:sz="0" w:space="0" w:color="auto"/>
          </w:divBdr>
        </w:div>
        <w:div w:id="1031299757">
          <w:marLeft w:val="806"/>
          <w:marRight w:val="0"/>
          <w:marTop w:val="75"/>
          <w:marBottom w:val="0"/>
          <w:divBdr>
            <w:top w:val="none" w:sz="0" w:space="0" w:color="auto"/>
            <w:left w:val="none" w:sz="0" w:space="0" w:color="auto"/>
            <w:bottom w:val="none" w:sz="0" w:space="0" w:color="auto"/>
            <w:right w:val="none" w:sz="0" w:space="0" w:color="auto"/>
          </w:divBdr>
        </w:div>
        <w:div w:id="1088305144">
          <w:marLeft w:val="1354"/>
          <w:marRight w:val="0"/>
          <w:marTop w:val="75"/>
          <w:marBottom w:val="0"/>
          <w:divBdr>
            <w:top w:val="none" w:sz="0" w:space="0" w:color="auto"/>
            <w:left w:val="none" w:sz="0" w:space="0" w:color="auto"/>
            <w:bottom w:val="none" w:sz="0" w:space="0" w:color="auto"/>
            <w:right w:val="none" w:sz="0" w:space="0" w:color="auto"/>
          </w:divBdr>
        </w:div>
        <w:div w:id="1338776720">
          <w:marLeft w:val="806"/>
          <w:marRight w:val="0"/>
          <w:marTop w:val="75"/>
          <w:marBottom w:val="0"/>
          <w:divBdr>
            <w:top w:val="none" w:sz="0" w:space="0" w:color="auto"/>
            <w:left w:val="none" w:sz="0" w:space="0" w:color="auto"/>
            <w:bottom w:val="none" w:sz="0" w:space="0" w:color="auto"/>
            <w:right w:val="none" w:sz="0" w:space="0" w:color="auto"/>
          </w:divBdr>
        </w:div>
        <w:div w:id="1442842645">
          <w:marLeft w:val="806"/>
          <w:marRight w:val="0"/>
          <w:marTop w:val="75"/>
          <w:marBottom w:val="0"/>
          <w:divBdr>
            <w:top w:val="none" w:sz="0" w:space="0" w:color="auto"/>
            <w:left w:val="none" w:sz="0" w:space="0" w:color="auto"/>
            <w:bottom w:val="none" w:sz="0" w:space="0" w:color="auto"/>
            <w:right w:val="none" w:sz="0" w:space="0" w:color="auto"/>
          </w:divBdr>
        </w:div>
        <w:div w:id="1874803487">
          <w:marLeft w:val="1354"/>
          <w:marRight w:val="0"/>
          <w:marTop w:val="75"/>
          <w:marBottom w:val="0"/>
          <w:divBdr>
            <w:top w:val="none" w:sz="0" w:space="0" w:color="auto"/>
            <w:left w:val="none" w:sz="0" w:space="0" w:color="auto"/>
            <w:bottom w:val="none" w:sz="0" w:space="0" w:color="auto"/>
            <w:right w:val="none" w:sz="0" w:space="0" w:color="auto"/>
          </w:divBdr>
        </w:div>
        <w:div w:id="2062748785">
          <w:marLeft w:val="806"/>
          <w:marRight w:val="0"/>
          <w:marTop w:val="75"/>
          <w:marBottom w:val="0"/>
          <w:divBdr>
            <w:top w:val="none" w:sz="0" w:space="0" w:color="auto"/>
            <w:left w:val="none" w:sz="0" w:space="0" w:color="auto"/>
            <w:bottom w:val="none" w:sz="0" w:space="0" w:color="auto"/>
            <w:right w:val="none" w:sz="0" w:space="0" w:color="auto"/>
          </w:divBdr>
        </w:div>
      </w:divsChild>
    </w:div>
    <w:div w:id="953096446">
      <w:bodyDiv w:val="1"/>
      <w:marLeft w:val="0"/>
      <w:marRight w:val="0"/>
      <w:marTop w:val="0"/>
      <w:marBottom w:val="0"/>
      <w:divBdr>
        <w:top w:val="none" w:sz="0" w:space="0" w:color="auto"/>
        <w:left w:val="none" w:sz="0" w:space="0" w:color="auto"/>
        <w:bottom w:val="none" w:sz="0" w:space="0" w:color="auto"/>
        <w:right w:val="none" w:sz="0" w:space="0" w:color="auto"/>
      </w:divBdr>
    </w:div>
    <w:div w:id="987511387">
      <w:bodyDiv w:val="1"/>
      <w:marLeft w:val="0"/>
      <w:marRight w:val="0"/>
      <w:marTop w:val="0"/>
      <w:marBottom w:val="0"/>
      <w:divBdr>
        <w:top w:val="none" w:sz="0" w:space="0" w:color="auto"/>
        <w:left w:val="none" w:sz="0" w:space="0" w:color="auto"/>
        <w:bottom w:val="none" w:sz="0" w:space="0" w:color="auto"/>
        <w:right w:val="none" w:sz="0" w:space="0" w:color="auto"/>
      </w:divBdr>
    </w:div>
    <w:div w:id="1006058627">
      <w:bodyDiv w:val="1"/>
      <w:marLeft w:val="0"/>
      <w:marRight w:val="0"/>
      <w:marTop w:val="0"/>
      <w:marBottom w:val="0"/>
      <w:divBdr>
        <w:top w:val="none" w:sz="0" w:space="0" w:color="auto"/>
        <w:left w:val="none" w:sz="0" w:space="0" w:color="auto"/>
        <w:bottom w:val="none" w:sz="0" w:space="0" w:color="auto"/>
        <w:right w:val="none" w:sz="0" w:space="0" w:color="auto"/>
      </w:divBdr>
    </w:div>
    <w:div w:id="1025139179">
      <w:bodyDiv w:val="1"/>
      <w:marLeft w:val="0"/>
      <w:marRight w:val="0"/>
      <w:marTop w:val="0"/>
      <w:marBottom w:val="0"/>
      <w:divBdr>
        <w:top w:val="none" w:sz="0" w:space="0" w:color="auto"/>
        <w:left w:val="none" w:sz="0" w:space="0" w:color="auto"/>
        <w:bottom w:val="none" w:sz="0" w:space="0" w:color="auto"/>
        <w:right w:val="none" w:sz="0" w:space="0" w:color="auto"/>
      </w:divBdr>
    </w:div>
    <w:div w:id="1067844483">
      <w:bodyDiv w:val="1"/>
      <w:marLeft w:val="0"/>
      <w:marRight w:val="0"/>
      <w:marTop w:val="0"/>
      <w:marBottom w:val="0"/>
      <w:divBdr>
        <w:top w:val="none" w:sz="0" w:space="0" w:color="auto"/>
        <w:left w:val="none" w:sz="0" w:space="0" w:color="auto"/>
        <w:bottom w:val="none" w:sz="0" w:space="0" w:color="auto"/>
        <w:right w:val="none" w:sz="0" w:space="0" w:color="auto"/>
      </w:divBdr>
    </w:div>
    <w:div w:id="1136292041">
      <w:bodyDiv w:val="1"/>
      <w:marLeft w:val="0"/>
      <w:marRight w:val="0"/>
      <w:marTop w:val="0"/>
      <w:marBottom w:val="0"/>
      <w:divBdr>
        <w:top w:val="none" w:sz="0" w:space="0" w:color="auto"/>
        <w:left w:val="none" w:sz="0" w:space="0" w:color="auto"/>
        <w:bottom w:val="none" w:sz="0" w:space="0" w:color="auto"/>
        <w:right w:val="none" w:sz="0" w:space="0" w:color="auto"/>
      </w:divBdr>
    </w:div>
    <w:div w:id="1182554063">
      <w:bodyDiv w:val="1"/>
      <w:marLeft w:val="0"/>
      <w:marRight w:val="0"/>
      <w:marTop w:val="0"/>
      <w:marBottom w:val="0"/>
      <w:divBdr>
        <w:top w:val="none" w:sz="0" w:space="0" w:color="auto"/>
        <w:left w:val="none" w:sz="0" w:space="0" w:color="auto"/>
        <w:bottom w:val="none" w:sz="0" w:space="0" w:color="auto"/>
        <w:right w:val="none" w:sz="0" w:space="0" w:color="auto"/>
      </w:divBdr>
    </w:div>
    <w:div w:id="1260867212">
      <w:bodyDiv w:val="1"/>
      <w:marLeft w:val="0"/>
      <w:marRight w:val="0"/>
      <w:marTop w:val="0"/>
      <w:marBottom w:val="0"/>
      <w:divBdr>
        <w:top w:val="none" w:sz="0" w:space="0" w:color="auto"/>
        <w:left w:val="none" w:sz="0" w:space="0" w:color="auto"/>
        <w:bottom w:val="none" w:sz="0" w:space="0" w:color="auto"/>
        <w:right w:val="none" w:sz="0" w:space="0" w:color="auto"/>
      </w:divBdr>
      <w:divsChild>
        <w:div w:id="62724917">
          <w:marLeft w:val="274"/>
          <w:marRight w:val="0"/>
          <w:marTop w:val="150"/>
          <w:marBottom w:val="0"/>
          <w:divBdr>
            <w:top w:val="none" w:sz="0" w:space="0" w:color="auto"/>
            <w:left w:val="none" w:sz="0" w:space="0" w:color="auto"/>
            <w:bottom w:val="none" w:sz="0" w:space="0" w:color="auto"/>
            <w:right w:val="none" w:sz="0" w:space="0" w:color="auto"/>
          </w:divBdr>
        </w:div>
        <w:div w:id="356733955">
          <w:marLeft w:val="274"/>
          <w:marRight w:val="0"/>
          <w:marTop w:val="150"/>
          <w:marBottom w:val="0"/>
          <w:divBdr>
            <w:top w:val="none" w:sz="0" w:space="0" w:color="auto"/>
            <w:left w:val="none" w:sz="0" w:space="0" w:color="auto"/>
            <w:bottom w:val="none" w:sz="0" w:space="0" w:color="auto"/>
            <w:right w:val="none" w:sz="0" w:space="0" w:color="auto"/>
          </w:divBdr>
        </w:div>
        <w:div w:id="447890296">
          <w:marLeft w:val="806"/>
          <w:marRight w:val="0"/>
          <w:marTop w:val="75"/>
          <w:marBottom w:val="0"/>
          <w:divBdr>
            <w:top w:val="none" w:sz="0" w:space="0" w:color="auto"/>
            <w:left w:val="none" w:sz="0" w:space="0" w:color="auto"/>
            <w:bottom w:val="none" w:sz="0" w:space="0" w:color="auto"/>
            <w:right w:val="none" w:sz="0" w:space="0" w:color="auto"/>
          </w:divBdr>
        </w:div>
        <w:div w:id="639311576">
          <w:marLeft w:val="1354"/>
          <w:marRight w:val="0"/>
          <w:marTop w:val="75"/>
          <w:marBottom w:val="0"/>
          <w:divBdr>
            <w:top w:val="none" w:sz="0" w:space="0" w:color="auto"/>
            <w:left w:val="none" w:sz="0" w:space="0" w:color="auto"/>
            <w:bottom w:val="none" w:sz="0" w:space="0" w:color="auto"/>
            <w:right w:val="none" w:sz="0" w:space="0" w:color="auto"/>
          </w:divBdr>
        </w:div>
        <w:div w:id="663699675">
          <w:marLeft w:val="806"/>
          <w:marRight w:val="0"/>
          <w:marTop w:val="75"/>
          <w:marBottom w:val="0"/>
          <w:divBdr>
            <w:top w:val="none" w:sz="0" w:space="0" w:color="auto"/>
            <w:left w:val="none" w:sz="0" w:space="0" w:color="auto"/>
            <w:bottom w:val="none" w:sz="0" w:space="0" w:color="auto"/>
            <w:right w:val="none" w:sz="0" w:space="0" w:color="auto"/>
          </w:divBdr>
        </w:div>
        <w:div w:id="852375925">
          <w:marLeft w:val="1354"/>
          <w:marRight w:val="0"/>
          <w:marTop w:val="75"/>
          <w:marBottom w:val="0"/>
          <w:divBdr>
            <w:top w:val="none" w:sz="0" w:space="0" w:color="auto"/>
            <w:left w:val="none" w:sz="0" w:space="0" w:color="auto"/>
            <w:bottom w:val="none" w:sz="0" w:space="0" w:color="auto"/>
            <w:right w:val="none" w:sz="0" w:space="0" w:color="auto"/>
          </w:divBdr>
        </w:div>
        <w:div w:id="1092362520">
          <w:marLeft w:val="806"/>
          <w:marRight w:val="0"/>
          <w:marTop w:val="75"/>
          <w:marBottom w:val="0"/>
          <w:divBdr>
            <w:top w:val="none" w:sz="0" w:space="0" w:color="auto"/>
            <w:left w:val="none" w:sz="0" w:space="0" w:color="auto"/>
            <w:bottom w:val="none" w:sz="0" w:space="0" w:color="auto"/>
            <w:right w:val="none" w:sz="0" w:space="0" w:color="auto"/>
          </w:divBdr>
        </w:div>
        <w:div w:id="1126511868">
          <w:marLeft w:val="806"/>
          <w:marRight w:val="0"/>
          <w:marTop w:val="75"/>
          <w:marBottom w:val="0"/>
          <w:divBdr>
            <w:top w:val="none" w:sz="0" w:space="0" w:color="auto"/>
            <w:left w:val="none" w:sz="0" w:space="0" w:color="auto"/>
            <w:bottom w:val="none" w:sz="0" w:space="0" w:color="auto"/>
            <w:right w:val="none" w:sz="0" w:space="0" w:color="auto"/>
          </w:divBdr>
        </w:div>
        <w:div w:id="1176337544">
          <w:marLeft w:val="806"/>
          <w:marRight w:val="0"/>
          <w:marTop w:val="75"/>
          <w:marBottom w:val="0"/>
          <w:divBdr>
            <w:top w:val="none" w:sz="0" w:space="0" w:color="auto"/>
            <w:left w:val="none" w:sz="0" w:space="0" w:color="auto"/>
            <w:bottom w:val="none" w:sz="0" w:space="0" w:color="auto"/>
            <w:right w:val="none" w:sz="0" w:space="0" w:color="auto"/>
          </w:divBdr>
        </w:div>
        <w:div w:id="1323896222">
          <w:marLeft w:val="806"/>
          <w:marRight w:val="0"/>
          <w:marTop w:val="75"/>
          <w:marBottom w:val="0"/>
          <w:divBdr>
            <w:top w:val="none" w:sz="0" w:space="0" w:color="auto"/>
            <w:left w:val="none" w:sz="0" w:space="0" w:color="auto"/>
            <w:bottom w:val="none" w:sz="0" w:space="0" w:color="auto"/>
            <w:right w:val="none" w:sz="0" w:space="0" w:color="auto"/>
          </w:divBdr>
        </w:div>
        <w:div w:id="1404986057">
          <w:marLeft w:val="806"/>
          <w:marRight w:val="0"/>
          <w:marTop w:val="75"/>
          <w:marBottom w:val="0"/>
          <w:divBdr>
            <w:top w:val="none" w:sz="0" w:space="0" w:color="auto"/>
            <w:left w:val="none" w:sz="0" w:space="0" w:color="auto"/>
            <w:bottom w:val="none" w:sz="0" w:space="0" w:color="auto"/>
            <w:right w:val="none" w:sz="0" w:space="0" w:color="auto"/>
          </w:divBdr>
        </w:div>
        <w:div w:id="1518273534">
          <w:marLeft w:val="806"/>
          <w:marRight w:val="0"/>
          <w:marTop w:val="75"/>
          <w:marBottom w:val="0"/>
          <w:divBdr>
            <w:top w:val="none" w:sz="0" w:space="0" w:color="auto"/>
            <w:left w:val="none" w:sz="0" w:space="0" w:color="auto"/>
            <w:bottom w:val="none" w:sz="0" w:space="0" w:color="auto"/>
            <w:right w:val="none" w:sz="0" w:space="0" w:color="auto"/>
          </w:divBdr>
        </w:div>
        <w:div w:id="2111509996">
          <w:marLeft w:val="806"/>
          <w:marRight w:val="0"/>
          <w:marTop w:val="75"/>
          <w:marBottom w:val="0"/>
          <w:divBdr>
            <w:top w:val="none" w:sz="0" w:space="0" w:color="auto"/>
            <w:left w:val="none" w:sz="0" w:space="0" w:color="auto"/>
            <w:bottom w:val="none" w:sz="0" w:space="0" w:color="auto"/>
            <w:right w:val="none" w:sz="0" w:space="0" w:color="auto"/>
          </w:divBdr>
        </w:div>
      </w:divsChild>
    </w:div>
    <w:div w:id="1269308932">
      <w:bodyDiv w:val="1"/>
      <w:marLeft w:val="0"/>
      <w:marRight w:val="0"/>
      <w:marTop w:val="0"/>
      <w:marBottom w:val="0"/>
      <w:divBdr>
        <w:top w:val="none" w:sz="0" w:space="0" w:color="auto"/>
        <w:left w:val="none" w:sz="0" w:space="0" w:color="auto"/>
        <w:bottom w:val="none" w:sz="0" w:space="0" w:color="auto"/>
        <w:right w:val="none" w:sz="0" w:space="0" w:color="auto"/>
      </w:divBdr>
    </w:div>
    <w:div w:id="1301572792">
      <w:bodyDiv w:val="1"/>
      <w:marLeft w:val="0"/>
      <w:marRight w:val="0"/>
      <w:marTop w:val="0"/>
      <w:marBottom w:val="0"/>
      <w:divBdr>
        <w:top w:val="none" w:sz="0" w:space="0" w:color="auto"/>
        <w:left w:val="none" w:sz="0" w:space="0" w:color="auto"/>
        <w:bottom w:val="none" w:sz="0" w:space="0" w:color="auto"/>
        <w:right w:val="none" w:sz="0" w:space="0" w:color="auto"/>
      </w:divBdr>
    </w:div>
    <w:div w:id="1336420902">
      <w:bodyDiv w:val="1"/>
      <w:marLeft w:val="0"/>
      <w:marRight w:val="0"/>
      <w:marTop w:val="0"/>
      <w:marBottom w:val="0"/>
      <w:divBdr>
        <w:top w:val="none" w:sz="0" w:space="0" w:color="auto"/>
        <w:left w:val="none" w:sz="0" w:space="0" w:color="auto"/>
        <w:bottom w:val="none" w:sz="0" w:space="0" w:color="auto"/>
        <w:right w:val="none" w:sz="0" w:space="0" w:color="auto"/>
      </w:divBdr>
    </w:div>
    <w:div w:id="1352342511">
      <w:bodyDiv w:val="1"/>
      <w:marLeft w:val="0"/>
      <w:marRight w:val="0"/>
      <w:marTop w:val="0"/>
      <w:marBottom w:val="0"/>
      <w:divBdr>
        <w:top w:val="none" w:sz="0" w:space="0" w:color="auto"/>
        <w:left w:val="none" w:sz="0" w:space="0" w:color="auto"/>
        <w:bottom w:val="none" w:sz="0" w:space="0" w:color="auto"/>
        <w:right w:val="none" w:sz="0" w:space="0" w:color="auto"/>
      </w:divBdr>
    </w:div>
    <w:div w:id="1369255104">
      <w:bodyDiv w:val="1"/>
      <w:marLeft w:val="0"/>
      <w:marRight w:val="0"/>
      <w:marTop w:val="0"/>
      <w:marBottom w:val="0"/>
      <w:divBdr>
        <w:top w:val="none" w:sz="0" w:space="0" w:color="auto"/>
        <w:left w:val="none" w:sz="0" w:space="0" w:color="auto"/>
        <w:bottom w:val="none" w:sz="0" w:space="0" w:color="auto"/>
        <w:right w:val="none" w:sz="0" w:space="0" w:color="auto"/>
      </w:divBdr>
    </w:div>
    <w:div w:id="1372263248">
      <w:bodyDiv w:val="1"/>
      <w:marLeft w:val="0"/>
      <w:marRight w:val="0"/>
      <w:marTop w:val="0"/>
      <w:marBottom w:val="0"/>
      <w:divBdr>
        <w:top w:val="none" w:sz="0" w:space="0" w:color="auto"/>
        <w:left w:val="none" w:sz="0" w:space="0" w:color="auto"/>
        <w:bottom w:val="none" w:sz="0" w:space="0" w:color="auto"/>
        <w:right w:val="none" w:sz="0" w:space="0" w:color="auto"/>
      </w:divBdr>
      <w:divsChild>
        <w:div w:id="519900627">
          <w:marLeft w:val="274"/>
          <w:marRight w:val="0"/>
          <w:marTop w:val="45"/>
          <w:marBottom w:val="0"/>
          <w:divBdr>
            <w:top w:val="none" w:sz="0" w:space="0" w:color="auto"/>
            <w:left w:val="none" w:sz="0" w:space="0" w:color="auto"/>
            <w:bottom w:val="none" w:sz="0" w:space="0" w:color="auto"/>
            <w:right w:val="none" w:sz="0" w:space="0" w:color="auto"/>
          </w:divBdr>
        </w:div>
        <w:div w:id="604650754">
          <w:marLeft w:val="274"/>
          <w:marRight w:val="0"/>
          <w:marTop w:val="45"/>
          <w:marBottom w:val="0"/>
          <w:divBdr>
            <w:top w:val="none" w:sz="0" w:space="0" w:color="auto"/>
            <w:left w:val="none" w:sz="0" w:space="0" w:color="auto"/>
            <w:bottom w:val="none" w:sz="0" w:space="0" w:color="auto"/>
            <w:right w:val="none" w:sz="0" w:space="0" w:color="auto"/>
          </w:divBdr>
        </w:div>
        <w:div w:id="642395224">
          <w:marLeft w:val="274"/>
          <w:marRight w:val="0"/>
          <w:marTop w:val="45"/>
          <w:marBottom w:val="0"/>
          <w:divBdr>
            <w:top w:val="none" w:sz="0" w:space="0" w:color="auto"/>
            <w:left w:val="none" w:sz="0" w:space="0" w:color="auto"/>
            <w:bottom w:val="none" w:sz="0" w:space="0" w:color="auto"/>
            <w:right w:val="none" w:sz="0" w:space="0" w:color="auto"/>
          </w:divBdr>
        </w:div>
        <w:div w:id="956182870">
          <w:marLeft w:val="274"/>
          <w:marRight w:val="0"/>
          <w:marTop w:val="45"/>
          <w:marBottom w:val="0"/>
          <w:divBdr>
            <w:top w:val="none" w:sz="0" w:space="0" w:color="auto"/>
            <w:left w:val="none" w:sz="0" w:space="0" w:color="auto"/>
            <w:bottom w:val="none" w:sz="0" w:space="0" w:color="auto"/>
            <w:right w:val="none" w:sz="0" w:space="0" w:color="auto"/>
          </w:divBdr>
        </w:div>
        <w:div w:id="1477911029">
          <w:marLeft w:val="274"/>
          <w:marRight w:val="0"/>
          <w:marTop w:val="45"/>
          <w:marBottom w:val="0"/>
          <w:divBdr>
            <w:top w:val="none" w:sz="0" w:space="0" w:color="auto"/>
            <w:left w:val="none" w:sz="0" w:space="0" w:color="auto"/>
            <w:bottom w:val="none" w:sz="0" w:space="0" w:color="auto"/>
            <w:right w:val="none" w:sz="0" w:space="0" w:color="auto"/>
          </w:divBdr>
        </w:div>
        <w:div w:id="1570992010">
          <w:marLeft w:val="274"/>
          <w:marRight w:val="0"/>
          <w:marTop w:val="45"/>
          <w:marBottom w:val="0"/>
          <w:divBdr>
            <w:top w:val="none" w:sz="0" w:space="0" w:color="auto"/>
            <w:left w:val="none" w:sz="0" w:space="0" w:color="auto"/>
            <w:bottom w:val="none" w:sz="0" w:space="0" w:color="auto"/>
            <w:right w:val="none" w:sz="0" w:space="0" w:color="auto"/>
          </w:divBdr>
        </w:div>
      </w:divsChild>
    </w:div>
    <w:div w:id="1397628430">
      <w:bodyDiv w:val="1"/>
      <w:marLeft w:val="0"/>
      <w:marRight w:val="0"/>
      <w:marTop w:val="0"/>
      <w:marBottom w:val="0"/>
      <w:divBdr>
        <w:top w:val="none" w:sz="0" w:space="0" w:color="auto"/>
        <w:left w:val="none" w:sz="0" w:space="0" w:color="auto"/>
        <w:bottom w:val="none" w:sz="0" w:space="0" w:color="auto"/>
        <w:right w:val="none" w:sz="0" w:space="0" w:color="auto"/>
      </w:divBdr>
    </w:div>
    <w:div w:id="1399475953">
      <w:bodyDiv w:val="1"/>
      <w:marLeft w:val="0"/>
      <w:marRight w:val="0"/>
      <w:marTop w:val="0"/>
      <w:marBottom w:val="0"/>
      <w:divBdr>
        <w:top w:val="none" w:sz="0" w:space="0" w:color="auto"/>
        <w:left w:val="none" w:sz="0" w:space="0" w:color="auto"/>
        <w:bottom w:val="none" w:sz="0" w:space="0" w:color="auto"/>
        <w:right w:val="none" w:sz="0" w:space="0" w:color="auto"/>
      </w:divBdr>
    </w:div>
    <w:div w:id="1430201346">
      <w:bodyDiv w:val="1"/>
      <w:marLeft w:val="0"/>
      <w:marRight w:val="0"/>
      <w:marTop w:val="0"/>
      <w:marBottom w:val="0"/>
      <w:divBdr>
        <w:top w:val="none" w:sz="0" w:space="0" w:color="auto"/>
        <w:left w:val="none" w:sz="0" w:space="0" w:color="auto"/>
        <w:bottom w:val="none" w:sz="0" w:space="0" w:color="auto"/>
        <w:right w:val="none" w:sz="0" w:space="0" w:color="auto"/>
      </w:divBdr>
    </w:div>
    <w:div w:id="1431048550">
      <w:bodyDiv w:val="1"/>
      <w:marLeft w:val="0"/>
      <w:marRight w:val="0"/>
      <w:marTop w:val="0"/>
      <w:marBottom w:val="0"/>
      <w:divBdr>
        <w:top w:val="none" w:sz="0" w:space="0" w:color="auto"/>
        <w:left w:val="none" w:sz="0" w:space="0" w:color="auto"/>
        <w:bottom w:val="none" w:sz="0" w:space="0" w:color="auto"/>
        <w:right w:val="none" w:sz="0" w:space="0" w:color="auto"/>
      </w:divBdr>
    </w:div>
    <w:div w:id="1433282963">
      <w:bodyDiv w:val="1"/>
      <w:marLeft w:val="0"/>
      <w:marRight w:val="0"/>
      <w:marTop w:val="0"/>
      <w:marBottom w:val="0"/>
      <w:divBdr>
        <w:top w:val="none" w:sz="0" w:space="0" w:color="auto"/>
        <w:left w:val="none" w:sz="0" w:space="0" w:color="auto"/>
        <w:bottom w:val="none" w:sz="0" w:space="0" w:color="auto"/>
        <w:right w:val="none" w:sz="0" w:space="0" w:color="auto"/>
      </w:divBdr>
    </w:div>
    <w:div w:id="1445079010">
      <w:bodyDiv w:val="1"/>
      <w:marLeft w:val="0"/>
      <w:marRight w:val="0"/>
      <w:marTop w:val="0"/>
      <w:marBottom w:val="0"/>
      <w:divBdr>
        <w:top w:val="none" w:sz="0" w:space="0" w:color="auto"/>
        <w:left w:val="none" w:sz="0" w:space="0" w:color="auto"/>
        <w:bottom w:val="none" w:sz="0" w:space="0" w:color="auto"/>
        <w:right w:val="none" w:sz="0" w:space="0" w:color="auto"/>
      </w:divBdr>
    </w:div>
    <w:div w:id="1494104617">
      <w:bodyDiv w:val="1"/>
      <w:marLeft w:val="0"/>
      <w:marRight w:val="0"/>
      <w:marTop w:val="0"/>
      <w:marBottom w:val="0"/>
      <w:divBdr>
        <w:top w:val="none" w:sz="0" w:space="0" w:color="auto"/>
        <w:left w:val="none" w:sz="0" w:space="0" w:color="auto"/>
        <w:bottom w:val="none" w:sz="0" w:space="0" w:color="auto"/>
        <w:right w:val="none" w:sz="0" w:space="0" w:color="auto"/>
      </w:divBdr>
    </w:div>
    <w:div w:id="1518543800">
      <w:bodyDiv w:val="1"/>
      <w:marLeft w:val="0"/>
      <w:marRight w:val="0"/>
      <w:marTop w:val="0"/>
      <w:marBottom w:val="0"/>
      <w:divBdr>
        <w:top w:val="none" w:sz="0" w:space="0" w:color="auto"/>
        <w:left w:val="none" w:sz="0" w:space="0" w:color="auto"/>
        <w:bottom w:val="none" w:sz="0" w:space="0" w:color="auto"/>
        <w:right w:val="none" w:sz="0" w:space="0" w:color="auto"/>
      </w:divBdr>
    </w:div>
    <w:div w:id="1543058222">
      <w:bodyDiv w:val="1"/>
      <w:marLeft w:val="0"/>
      <w:marRight w:val="0"/>
      <w:marTop w:val="0"/>
      <w:marBottom w:val="0"/>
      <w:divBdr>
        <w:top w:val="none" w:sz="0" w:space="0" w:color="auto"/>
        <w:left w:val="none" w:sz="0" w:space="0" w:color="auto"/>
        <w:bottom w:val="none" w:sz="0" w:space="0" w:color="auto"/>
        <w:right w:val="none" w:sz="0" w:space="0" w:color="auto"/>
      </w:divBdr>
    </w:div>
    <w:div w:id="1559126151">
      <w:bodyDiv w:val="1"/>
      <w:marLeft w:val="0"/>
      <w:marRight w:val="0"/>
      <w:marTop w:val="0"/>
      <w:marBottom w:val="0"/>
      <w:divBdr>
        <w:top w:val="none" w:sz="0" w:space="0" w:color="auto"/>
        <w:left w:val="none" w:sz="0" w:space="0" w:color="auto"/>
        <w:bottom w:val="none" w:sz="0" w:space="0" w:color="auto"/>
        <w:right w:val="none" w:sz="0" w:space="0" w:color="auto"/>
      </w:divBdr>
    </w:div>
    <w:div w:id="1573152492">
      <w:bodyDiv w:val="1"/>
      <w:marLeft w:val="0"/>
      <w:marRight w:val="0"/>
      <w:marTop w:val="0"/>
      <w:marBottom w:val="0"/>
      <w:divBdr>
        <w:top w:val="none" w:sz="0" w:space="0" w:color="auto"/>
        <w:left w:val="none" w:sz="0" w:space="0" w:color="auto"/>
        <w:bottom w:val="none" w:sz="0" w:space="0" w:color="auto"/>
        <w:right w:val="none" w:sz="0" w:space="0" w:color="auto"/>
      </w:divBdr>
    </w:div>
    <w:div w:id="1604074644">
      <w:bodyDiv w:val="1"/>
      <w:marLeft w:val="0"/>
      <w:marRight w:val="0"/>
      <w:marTop w:val="0"/>
      <w:marBottom w:val="0"/>
      <w:divBdr>
        <w:top w:val="none" w:sz="0" w:space="0" w:color="auto"/>
        <w:left w:val="none" w:sz="0" w:space="0" w:color="auto"/>
        <w:bottom w:val="none" w:sz="0" w:space="0" w:color="auto"/>
        <w:right w:val="none" w:sz="0" w:space="0" w:color="auto"/>
      </w:divBdr>
    </w:div>
    <w:div w:id="1633752542">
      <w:bodyDiv w:val="1"/>
      <w:marLeft w:val="0"/>
      <w:marRight w:val="0"/>
      <w:marTop w:val="0"/>
      <w:marBottom w:val="0"/>
      <w:divBdr>
        <w:top w:val="none" w:sz="0" w:space="0" w:color="auto"/>
        <w:left w:val="none" w:sz="0" w:space="0" w:color="auto"/>
        <w:bottom w:val="none" w:sz="0" w:space="0" w:color="auto"/>
        <w:right w:val="none" w:sz="0" w:space="0" w:color="auto"/>
      </w:divBdr>
    </w:div>
    <w:div w:id="1675182656">
      <w:bodyDiv w:val="1"/>
      <w:marLeft w:val="0"/>
      <w:marRight w:val="0"/>
      <w:marTop w:val="0"/>
      <w:marBottom w:val="0"/>
      <w:divBdr>
        <w:top w:val="none" w:sz="0" w:space="0" w:color="auto"/>
        <w:left w:val="none" w:sz="0" w:space="0" w:color="auto"/>
        <w:bottom w:val="none" w:sz="0" w:space="0" w:color="auto"/>
        <w:right w:val="none" w:sz="0" w:space="0" w:color="auto"/>
      </w:divBdr>
    </w:div>
    <w:div w:id="1692221379">
      <w:bodyDiv w:val="1"/>
      <w:marLeft w:val="0"/>
      <w:marRight w:val="0"/>
      <w:marTop w:val="0"/>
      <w:marBottom w:val="0"/>
      <w:divBdr>
        <w:top w:val="none" w:sz="0" w:space="0" w:color="auto"/>
        <w:left w:val="none" w:sz="0" w:space="0" w:color="auto"/>
        <w:bottom w:val="none" w:sz="0" w:space="0" w:color="auto"/>
        <w:right w:val="none" w:sz="0" w:space="0" w:color="auto"/>
      </w:divBdr>
    </w:div>
    <w:div w:id="1760715072">
      <w:bodyDiv w:val="1"/>
      <w:marLeft w:val="0"/>
      <w:marRight w:val="0"/>
      <w:marTop w:val="0"/>
      <w:marBottom w:val="0"/>
      <w:divBdr>
        <w:top w:val="none" w:sz="0" w:space="0" w:color="auto"/>
        <w:left w:val="none" w:sz="0" w:space="0" w:color="auto"/>
        <w:bottom w:val="none" w:sz="0" w:space="0" w:color="auto"/>
        <w:right w:val="none" w:sz="0" w:space="0" w:color="auto"/>
      </w:divBdr>
    </w:div>
    <w:div w:id="1776707609">
      <w:bodyDiv w:val="1"/>
      <w:marLeft w:val="0"/>
      <w:marRight w:val="0"/>
      <w:marTop w:val="0"/>
      <w:marBottom w:val="0"/>
      <w:divBdr>
        <w:top w:val="none" w:sz="0" w:space="0" w:color="auto"/>
        <w:left w:val="none" w:sz="0" w:space="0" w:color="auto"/>
        <w:bottom w:val="none" w:sz="0" w:space="0" w:color="auto"/>
        <w:right w:val="none" w:sz="0" w:space="0" w:color="auto"/>
      </w:divBdr>
    </w:div>
    <w:div w:id="1867517308">
      <w:bodyDiv w:val="1"/>
      <w:marLeft w:val="0"/>
      <w:marRight w:val="0"/>
      <w:marTop w:val="0"/>
      <w:marBottom w:val="0"/>
      <w:divBdr>
        <w:top w:val="none" w:sz="0" w:space="0" w:color="auto"/>
        <w:left w:val="none" w:sz="0" w:space="0" w:color="auto"/>
        <w:bottom w:val="none" w:sz="0" w:space="0" w:color="auto"/>
        <w:right w:val="none" w:sz="0" w:space="0" w:color="auto"/>
      </w:divBdr>
      <w:divsChild>
        <w:div w:id="30811068">
          <w:marLeft w:val="806"/>
          <w:marRight w:val="0"/>
          <w:marTop w:val="60"/>
          <w:marBottom w:val="0"/>
          <w:divBdr>
            <w:top w:val="none" w:sz="0" w:space="0" w:color="auto"/>
            <w:left w:val="none" w:sz="0" w:space="0" w:color="auto"/>
            <w:bottom w:val="none" w:sz="0" w:space="0" w:color="auto"/>
            <w:right w:val="none" w:sz="0" w:space="0" w:color="auto"/>
          </w:divBdr>
        </w:div>
        <w:div w:id="359479718">
          <w:marLeft w:val="274"/>
          <w:marRight w:val="0"/>
          <w:marTop w:val="60"/>
          <w:marBottom w:val="0"/>
          <w:divBdr>
            <w:top w:val="none" w:sz="0" w:space="0" w:color="auto"/>
            <w:left w:val="none" w:sz="0" w:space="0" w:color="auto"/>
            <w:bottom w:val="none" w:sz="0" w:space="0" w:color="auto"/>
            <w:right w:val="none" w:sz="0" w:space="0" w:color="auto"/>
          </w:divBdr>
        </w:div>
        <w:div w:id="434832076">
          <w:marLeft w:val="806"/>
          <w:marRight w:val="0"/>
          <w:marTop w:val="60"/>
          <w:marBottom w:val="0"/>
          <w:divBdr>
            <w:top w:val="none" w:sz="0" w:space="0" w:color="auto"/>
            <w:left w:val="none" w:sz="0" w:space="0" w:color="auto"/>
            <w:bottom w:val="none" w:sz="0" w:space="0" w:color="auto"/>
            <w:right w:val="none" w:sz="0" w:space="0" w:color="auto"/>
          </w:divBdr>
        </w:div>
        <w:div w:id="445849251">
          <w:marLeft w:val="806"/>
          <w:marRight w:val="0"/>
          <w:marTop w:val="60"/>
          <w:marBottom w:val="0"/>
          <w:divBdr>
            <w:top w:val="none" w:sz="0" w:space="0" w:color="auto"/>
            <w:left w:val="none" w:sz="0" w:space="0" w:color="auto"/>
            <w:bottom w:val="none" w:sz="0" w:space="0" w:color="auto"/>
            <w:right w:val="none" w:sz="0" w:space="0" w:color="auto"/>
          </w:divBdr>
        </w:div>
        <w:div w:id="510997134">
          <w:marLeft w:val="806"/>
          <w:marRight w:val="0"/>
          <w:marTop w:val="60"/>
          <w:marBottom w:val="0"/>
          <w:divBdr>
            <w:top w:val="none" w:sz="0" w:space="0" w:color="auto"/>
            <w:left w:val="none" w:sz="0" w:space="0" w:color="auto"/>
            <w:bottom w:val="none" w:sz="0" w:space="0" w:color="auto"/>
            <w:right w:val="none" w:sz="0" w:space="0" w:color="auto"/>
          </w:divBdr>
        </w:div>
        <w:div w:id="577247590">
          <w:marLeft w:val="806"/>
          <w:marRight w:val="0"/>
          <w:marTop w:val="60"/>
          <w:marBottom w:val="0"/>
          <w:divBdr>
            <w:top w:val="none" w:sz="0" w:space="0" w:color="auto"/>
            <w:left w:val="none" w:sz="0" w:space="0" w:color="auto"/>
            <w:bottom w:val="none" w:sz="0" w:space="0" w:color="auto"/>
            <w:right w:val="none" w:sz="0" w:space="0" w:color="auto"/>
          </w:divBdr>
        </w:div>
        <w:div w:id="827941756">
          <w:marLeft w:val="806"/>
          <w:marRight w:val="0"/>
          <w:marTop w:val="60"/>
          <w:marBottom w:val="0"/>
          <w:divBdr>
            <w:top w:val="none" w:sz="0" w:space="0" w:color="auto"/>
            <w:left w:val="none" w:sz="0" w:space="0" w:color="auto"/>
            <w:bottom w:val="none" w:sz="0" w:space="0" w:color="auto"/>
            <w:right w:val="none" w:sz="0" w:space="0" w:color="auto"/>
          </w:divBdr>
        </w:div>
        <w:div w:id="897975316">
          <w:marLeft w:val="274"/>
          <w:marRight w:val="0"/>
          <w:marTop w:val="60"/>
          <w:marBottom w:val="0"/>
          <w:divBdr>
            <w:top w:val="none" w:sz="0" w:space="0" w:color="auto"/>
            <w:left w:val="none" w:sz="0" w:space="0" w:color="auto"/>
            <w:bottom w:val="none" w:sz="0" w:space="0" w:color="auto"/>
            <w:right w:val="none" w:sz="0" w:space="0" w:color="auto"/>
          </w:divBdr>
        </w:div>
        <w:div w:id="1002899726">
          <w:marLeft w:val="806"/>
          <w:marRight w:val="0"/>
          <w:marTop w:val="60"/>
          <w:marBottom w:val="0"/>
          <w:divBdr>
            <w:top w:val="none" w:sz="0" w:space="0" w:color="auto"/>
            <w:left w:val="none" w:sz="0" w:space="0" w:color="auto"/>
            <w:bottom w:val="none" w:sz="0" w:space="0" w:color="auto"/>
            <w:right w:val="none" w:sz="0" w:space="0" w:color="auto"/>
          </w:divBdr>
        </w:div>
        <w:div w:id="1197624746">
          <w:marLeft w:val="806"/>
          <w:marRight w:val="0"/>
          <w:marTop w:val="60"/>
          <w:marBottom w:val="0"/>
          <w:divBdr>
            <w:top w:val="none" w:sz="0" w:space="0" w:color="auto"/>
            <w:left w:val="none" w:sz="0" w:space="0" w:color="auto"/>
            <w:bottom w:val="none" w:sz="0" w:space="0" w:color="auto"/>
            <w:right w:val="none" w:sz="0" w:space="0" w:color="auto"/>
          </w:divBdr>
        </w:div>
        <w:div w:id="1495149782">
          <w:marLeft w:val="274"/>
          <w:marRight w:val="0"/>
          <w:marTop w:val="60"/>
          <w:marBottom w:val="0"/>
          <w:divBdr>
            <w:top w:val="none" w:sz="0" w:space="0" w:color="auto"/>
            <w:left w:val="none" w:sz="0" w:space="0" w:color="auto"/>
            <w:bottom w:val="none" w:sz="0" w:space="0" w:color="auto"/>
            <w:right w:val="none" w:sz="0" w:space="0" w:color="auto"/>
          </w:divBdr>
        </w:div>
        <w:div w:id="1533037183">
          <w:marLeft w:val="806"/>
          <w:marRight w:val="0"/>
          <w:marTop w:val="60"/>
          <w:marBottom w:val="0"/>
          <w:divBdr>
            <w:top w:val="none" w:sz="0" w:space="0" w:color="auto"/>
            <w:left w:val="none" w:sz="0" w:space="0" w:color="auto"/>
            <w:bottom w:val="none" w:sz="0" w:space="0" w:color="auto"/>
            <w:right w:val="none" w:sz="0" w:space="0" w:color="auto"/>
          </w:divBdr>
        </w:div>
        <w:div w:id="1541242320">
          <w:marLeft w:val="806"/>
          <w:marRight w:val="0"/>
          <w:marTop w:val="60"/>
          <w:marBottom w:val="0"/>
          <w:divBdr>
            <w:top w:val="none" w:sz="0" w:space="0" w:color="auto"/>
            <w:left w:val="none" w:sz="0" w:space="0" w:color="auto"/>
            <w:bottom w:val="none" w:sz="0" w:space="0" w:color="auto"/>
            <w:right w:val="none" w:sz="0" w:space="0" w:color="auto"/>
          </w:divBdr>
        </w:div>
        <w:div w:id="1607804880">
          <w:marLeft w:val="806"/>
          <w:marRight w:val="0"/>
          <w:marTop w:val="60"/>
          <w:marBottom w:val="0"/>
          <w:divBdr>
            <w:top w:val="none" w:sz="0" w:space="0" w:color="auto"/>
            <w:left w:val="none" w:sz="0" w:space="0" w:color="auto"/>
            <w:bottom w:val="none" w:sz="0" w:space="0" w:color="auto"/>
            <w:right w:val="none" w:sz="0" w:space="0" w:color="auto"/>
          </w:divBdr>
        </w:div>
        <w:div w:id="1638953436">
          <w:marLeft w:val="806"/>
          <w:marRight w:val="0"/>
          <w:marTop w:val="60"/>
          <w:marBottom w:val="0"/>
          <w:divBdr>
            <w:top w:val="none" w:sz="0" w:space="0" w:color="auto"/>
            <w:left w:val="none" w:sz="0" w:space="0" w:color="auto"/>
            <w:bottom w:val="none" w:sz="0" w:space="0" w:color="auto"/>
            <w:right w:val="none" w:sz="0" w:space="0" w:color="auto"/>
          </w:divBdr>
        </w:div>
        <w:div w:id="1693726583">
          <w:marLeft w:val="806"/>
          <w:marRight w:val="0"/>
          <w:marTop w:val="60"/>
          <w:marBottom w:val="0"/>
          <w:divBdr>
            <w:top w:val="none" w:sz="0" w:space="0" w:color="auto"/>
            <w:left w:val="none" w:sz="0" w:space="0" w:color="auto"/>
            <w:bottom w:val="none" w:sz="0" w:space="0" w:color="auto"/>
            <w:right w:val="none" w:sz="0" w:space="0" w:color="auto"/>
          </w:divBdr>
        </w:div>
        <w:div w:id="1732652317">
          <w:marLeft w:val="806"/>
          <w:marRight w:val="0"/>
          <w:marTop w:val="60"/>
          <w:marBottom w:val="0"/>
          <w:divBdr>
            <w:top w:val="none" w:sz="0" w:space="0" w:color="auto"/>
            <w:left w:val="none" w:sz="0" w:space="0" w:color="auto"/>
            <w:bottom w:val="none" w:sz="0" w:space="0" w:color="auto"/>
            <w:right w:val="none" w:sz="0" w:space="0" w:color="auto"/>
          </w:divBdr>
        </w:div>
      </w:divsChild>
    </w:div>
    <w:div w:id="1878732453">
      <w:bodyDiv w:val="1"/>
      <w:marLeft w:val="0"/>
      <w:marRight w:val="0"/>
      <w:marTop w:val="0"/>
      <w:marBottom w:val="0"/>
      <w:divBdr>
        <w:top w:val="none" w:sz="0" w:space="0" w:color="auto"/>
        <w:left w:val="none" w:sz="0" w:space="0" w:color="auto"/>
        <w:bottom w:val="none" w:sz="0" w:space="0" w:color="auto"/>
        <w:right w:val="none" w:sz="0" w:space="0" w:color="auto"/>
      </w:divBdr>
    </w:div>
    <w:div w:id="1887177240">
      <w:bodyDiv w:val="1"/>
      <w:marLeft w:val="0"/>
      <w:marRight w:val="0"/>
      <w:marTop w:val="0"/>
      <w:marBottom w:val="0"/>
      <w:divBdr>
        <w:top w:val="none" w:sz="0" w:space="0" w:color="auto"/>
        <w:left w:val="none" w:sz="0" w:space="0" w:color="auto"/>
        <w:bottom w:val="none" w:sz="0" w:space="0" w:color="auto"/>
        <w:right w:val="none" w:sz="0" w:space="0" w:color="auto"/>
      </w:divBdr>
      <w:divsChild>
        <w:div w:id="92552617">
          <w:marLeft w:val="274"/>
          <w:marRight w:val="0"/>
          <w:marTop w:val="150"/>
          <w:marBottom w:val="0"/>
          <w:divBdr>
            <w:top w:val="none" w:sz="0" w:space="0" w:color="auto"/>
            <w:left w:val="none" w:sz="0" w:space="0" w:color="auto"/>
            <w:bottom w:val="none" w:sz="0" w:space="0" w:color="auto"/>
            <w:right w:val="none" w:sz="0" w:space="0" w:color="auto"/>
          </w:divBdr>
        </w:div>
        <w:div w:id="110787444">
          <w:marLeft w:val="806"/>
          <w:marRight w:val="0"/>
          <w:marTop w:val="75"/>
          <w:marBottom w:val="0"/>
          <w:divBdr>
            <w:top w:val="none" w:sz="0" w:space="0" w:color="auto"/>
            <w:left w:val="none" w:sz="0" w:space="0" w:color="auto"/>
            <w:bottom w:val="none" w:sz="0" w:space="0" w:color="auto"/>
            <w:right w:val="none" w:sz="0" w:space="0" w:color="auto"/>
          </w:divBdr>
        </w:div>
        <w:div w:id="155610042">
          <w:marLeft w:val="806"/>
          <w:marRight w:val="0"/>
          <w:marTop w:val="75"/>
          <w:marBottom w:val="0"/>
          <w:divBdr>
            <w:top w:val="none" w:sz="0" w:space="0" w:color="auto"/>
            <w:left w:val="none" w:sz="0" w:space="0" w:color="auto"/>
            <w:bottom w:val="none" w:sz="0" w:space="0" w:color="auto"/>
            <w:right w:val="none" w:sz="0" w:space="0" w:color="auto"/>
          </w:divBdr>
        </w:div>
        <w:div w:id="562764784">
          <w:marLeft w:val="274"/>
          <w:marRight w:val="0"/>
          <w:marTop w:val="150"/>
          <w:marBottom w:val="0"/>
          <w:divBdr>
            <w:top w:val="none" w:sz="0" w:space="0" w:color="auto"/>
            <w:left w:val="none" w:sz="0" w:space="0" w:color="auto"/>
            <w:bottom w:val="none" w:sz="0" w:space="0" w:color="auto"/>
            <w:right w:val="none" w:sz="0" w:space="0" w:color="auto"/>
          </w:divBdr>
        </w:div>
        <w:div w:id="729233942">
          <w:marLeft w:val="806"/>
          <w:marRight w:val="0"/>
          <w:marTop w:val="75"/>
          <w:marBottom w:val="0"/>
          <w:divBdr>
            <w:top w:val="none" w:sz="0" w:space="0" w:color="auto"/>
            <w:left w:val="none" w:sz="0" w:space="0" w:color="auto"/>
            <w:bottom w:val="none" w:sz="0" w:space="0" w:color="auto"/>
            <w:right w:val="none" w:sz="0" w:space="0" w:color="auto"/>
          </w:divBdr>
        </w:div>
        <w:div w:id="1115100023">
          <w:marLeft w:val="806"/>
          <w:marRight w:val="0"/>
          <w:marTop w:val="75"/>
          <w:marBottom w:val="0"/>
          <w:divBdr>
            <w:top w:val="none" w:sz="0" w:space="0" w:color="auto"/>
            <w:left w:val="none" w:sz="0" w:space="0" w:color="auto"/>
            <w:bottom w:val="none" w:sz="0" w:space="0" w:color="auto"/>
            <w:right w:val="none" w:sz="0" w:space="0" w:color="auto"/>
          </w:divBdr>
        </w:div>
        <w:div w:id="1650357062">
          <w:marLeft w:val="806"/>
          <w:marRight w:val="0"/>
          <w:marTop w:val="75"/>
          <w:marBottom w:val="0"/>
          <w:divBdr>
            <w:top w:val="none" w:sz="0" w:space="0" w:color="auto"/>
            <w:left w:val="none" w:sz="0" w:space="0" w:color="auto"/>
            <w:bottom w:val="none" w:sz="0" w:space="0" w:color="auto"/>
            <w:right w:val="none" w:sz="0" w:space="0" w:color="auto"/>
          </w:divBdr>
        </w:div>
        <w:div w:id="1681614968">
          <w:marLeft w:val="274"/>
          <w:marRight w:val="0"/>
          <w:marTop w:val="150"/>
          <w:marBottom w:val="0"/>
          <w:divBdr>
            <w:top w:val="none" w:sz="0" w:space="0" w:color="auto"/>
            <w:left w:val="none" w:sz="0" w:space="0" w:color="auto"/>
            <w:bottom w:val="none" w:sz="0" w:space="0" w:color="auto"/>
            <w:right w:val="none" w:sz="0" w:space="0" w:color="auto"/>
          </w:divBdr>
        </w:div>
        <w:div w:id="1733306506">
          <w:marLeft w:val="1354"/>
          <w:marRight w:val="0"/>
          <w:marTop w:val="75"/>
          <w:marBottom w:val="0"/>
          <w:divBdr>
            <w:top w:val="none" w:sz="0" w:space="0" w:color="auto"/>
            <w:left w:val="none" w:sz="0" w:space="0" w:color="auto"/>
            <w:bottom w:val="none" w:sz="0" w:space="0" w:color="auto"/>
            <w:right w:val="none" w:sz="0" w:space="0" w:color="auto"/>
          </w:divBdr>
        </w:div>
        <w:div w:id="1806389266">
          <w:marLeft w:val="806"/>
          <w:marRight w:val="0"/>
          <w:marTop w:val="75"/>
          <w:marBottom w:val="0"/>
          <w:divBdr>
            <w:top w:val="none" w:sz="0" w:space="0" w:color="auto"/>
            <w:left w:val="none" w:sz="0" w:space="0" w:color="auto"/>
            <w:bottom w:val="none" w:sz="0" w:space="0" w:color="auto"/>
            <w:right w:val="none" w:sz="0" w:space="0" w:color="auto"/>
          </w:divBdr>
        </w:div>
        <w:div w:id="1811702006">
          <w:marLeft w:val="806"/>
          <w:marRight w:val="0"/>
          <w:marTop w:val="75"/>
          <w:marBottom w:val="0"/>
          <w:divBdr>
            <w:top w:val="none" w:sz="0" w:space="0" w:color="auto"/>
            <w:left w:val="none" w:sz="0" w:space="0" w:color="auto"/>
            <w:bottom w:val="none" w:sz="0" w:space="0" w:color="auto"/>
            <w:right w:val="none" w:sz="0" w:space="0" w:color="auto"/>
          </w:divBdr>
        </w:div>
        <w:div w:id="1945266683">
          <w:marLeft w:val="806"/>
          <w:marRight w:val="0"/>
          <w:marTop w:val="75"/>
          <w:marBottom w:val="0"/>
          <w:divBdr>
            <w:top w:val="none" w:sz="0" w:space="0" w:color="auto"/>
            <w:left w:val="none" w:sz="0" w:space="0" w:color="auto"/>
            <w:bottom w:val="none" w:sz="0" w:space="0" w:color="auto"/>
            <w:right w:val="none" w:sz="0" w:space="0" w:color="auto"/>
          </w:divBdr>
        </w:div>
        <w:div w:id="1953126259">
          <w:marLeft w:val="1354"/>
          <w:marRight w:val="0"/>
          <w:marTop w:val="75"/>
          <w:marBottom w:val="0"/>
          <w:divBdr>
            <w:top w:val="none" w:sz="0" w:space="0" w:color="auto"/>
            <w:left w:val="none" w:sz="0" w:space="0" w:color="auto"/>
            <w:bottom w:val="none" w:sz="0" w:space="0" w:color="auto"/>
            <w:right w:val="none" w:sz="0" w:space="0" w:color="auto"/>
          </w:divBdr>
        </w:div>
        <w:div w:id="2070221336">
          <w:marLeft w:val="806"/>
          <w:marRight w:val="0"/>
          <w:marTop w:val="75"/>
          <w:marBottom w:val="0"/>
          <w:divBdr>
            <w:top w:val="none" w:sz="0" w:space="0" w:color="auto"/>
            <w:left w:val="none" w:sz="0" w:space="0" w:color="auto"/>
            <w:bottom w:val="none" w:sz="0" w:space="0" w:color="auto"/>
            <w:right w:val="none" w:sz="0" w:space="0" w:color="auto"/>
          </w:divBdr>
        </w:div>
        <w:div w:id="2071879765">
          <w:marLeft w:val="806"/>
          <w:marRight w:val="0"/>
          <w:marTop w:val="75"/>
          <w:marBottom w:val="0"/>
          <w:divBdr>
            <w:top w:val="none" w:sz="0" w:space="0" w:color="auto"/>
            <w:left w:val="none" w:sz="0" w:space="0" w:color="auto"/>
            <w:bottom w:val="none" w:sz="0" w:space="0" w:color="auto"/>
            <w:right w:val="none" w:sz="0" w:space="0" w:color="auto"/>
          </w:divBdr>
        </w:div>
      </w:divsChild>
    </w:div>
    <w:div w:id="1923290875">
      <w:bodyDiv w:val="1"/>
      <w:marLeft w:val="0"/>
      <w:marRight w:val="0"/>
      <w:marTop w:val="0"/>
      <w:marBottom w:val="0"/>
      <w:divBdr>
        <w:top w:val="none" w:sz="0" w:space="0" w:color="auto"/>
        <w:left w:val="none" w:sz="0" w:space="0" w:color="auto"/>
        <w:bottom w:val="none" w:sz="0" w:space="0" w:color="auto"/>
        <w:right w:val="none" w:sz="0" w:space="0" w:color="auto"/>
      </w:divBdr>
    </w:div>
    <w:div w:id="1957517530">
      <w:bodyDiv w:val="1"/>
      <w:marLeft w:val="0"/>
      <w:marRight w:val="0"/>
      <w:marTop w:val="0"/>
      <w:marBottom w:val="0"/>
      <w:divBdr>
        <w:top w:val="none" w:sz="0" w:space="0" w:color="auto"/>
        <w:left w:val="none" w:sz="0" w:space="0" w:color="auto"/>
        <w:bottom w:val="none" w:sz="0" w:space="0" w:color="auto"/>
        <w:right w:val="none" w:sz="0" w:space="0" w:color="auto"/>
      </w:divBdr>
    </w:div>
    <w:div w:id="1979266507">
      <w:bodyDiv w:val="1"/>
      <w:marLeft w:val="0"/>
      <w:marRight w:val="0"/>
      <w:marTop w:val="0"/>
      <w:marBottom w:val="0"/>
      <w:divBdr>
        <w:top w:val="none" w:sz="0" w:space="0" w:color="auto"/>
        <w:left w:val="none" w:sz="0" w:space="0" w:color="auto"/>
        <w:bottom w:val="none" w:sz="0" w:space="0" w:color="auto"/>
        <w:right w:val="none" w:sz="0" w:space="0" w:color="auto"/>
      </w:divBdr>
    </w:div>
    <w:div w:id="2025861361">
      <w:bodyDiv w:val="1"/>
      <w:marLeft w:val="0"/>
      <w:marRight w:val="0"/>
      <w:marTop w:val="0"/>
      <w:marBottom w:val="0"/>
      <w:divBdr>
        <w:top w:val="none" w:sz="0" w:space="0" w:color="auto"/>
        <w:left w:val="none" w:sz="0" w:space="0" w:color="auto"/>
        <w:bottom w:val="none" w:sz="0" w:space="0" w:color="auto"/>
        <w:right w:val="none" w:sz="0" w:space="0" w:color="auto"/>
      </w:divBdr>
    </w:div>
    <w:div w:id="2068916627">
      <w:bodyDiv w:val="1"/>
      <w:marLeft w:val="0"/>
      <w:marRight w:val="0"/>
      <w:marTop w:val="0"/>
      <w:marBottom w:val="0"/>
      <w:divBdr>
        <w:top w:val="none" w:sz="0" w:space="0" w:color="auto"/>
        <w:left w:val="none" w:sz="0" w:space="0" w:color="auto"/>
        <w:bottom w:val="none" w:sz="0" w:space="0" w:color="auto"/>
        <w:right w:val="none" w:sz="0" w:space="0" w:color="auto"/>
      </w:divBdr>
    </w:div>
    <w:div w:id="2077122467">
      <w:bodyDiv w:val="1"/>
      <w:marLeft w:val="0"/>
      <w:marRight w:val="0"/>
      <w:marTop w:val="0"/>
      <w:marBottom w:val="0"/>
      <w:divBdr>
        <w:top w:val="none" w:sz="0" w:space="0" w:color="auto"/>
        <w:left w:val="none" w:sz="0" w:space="0" w:color="auto"/>
        <w:bottom w:val="none" w:sz="0" w:space="0" w:color="auto"/>
        <w:right w:val="none" w:sz="0" w:space="0" w:color="auto"/>
      </w:divBdr>
    </w:div>
    <w:div w:id="210024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mobility@pcreee.org"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at/url?sa=i&amp;url=https://www.entwicklung.at/fileadmin/user_upload/EN_Visibility_Guidelines.pdf&amp;psig=AOvVaw1bm_B5PUF3Ut262_tR3bn_&amp;ust=1585692526000000&amp;source=images&amp;cd=vfe&amp;ved=0CAIQjRxqFwoTCNCv2NCaw-gCFQAAAAAdAAAAABAE" TargetMode="External"/><Relationship Id="rId23" Type="http://schemas.openxmlformats.org/officeDocument/2006/relationships/footer" Target="footer1.xml"/><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hyperlink" Target="mailto:emobility@gn-sec.net" TargetMode="Externa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google.at/url?sa=i&amp;url=https://www.impactpool.org/organizations/spc-pacific-community&amp;psig=AOvVaw07EVxg0hn-k6WfcmyQtPrL&amp;ust=1585692121757000&amp;source=images&amp;cd=vfe&amp;ved=0CAIQjRxqFwoTCMi0wpCZw-gCFQAAAAAdAAAAABAD"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4.emf"/><Relationship Id="rId30" Type="http://schemas.openxmlformats.org/officeDocument/2006/relationships/image" Target="media/image17.emf"/><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edd.spc.int/en/document-download/finish/60-reports/606-frameworkforactionontransportservices" TargetMode="External"/><Relationship Id="rId3" Type="http://schemas.openxmlformats.org/officeDocument/2006/relationships/hyperlink" Target="https://www.unescap.org/sites/default/files/Reportofthe2ndStakeholderConsultationWorkshop-ElectrificationofTransportSector.pdf" TargetMode="External"/><Relationship Id="rId7" Type="http://schemas.openxmlformats.org/officeDocument/2006/relationships/hyperlink" Target="https://www4.unfccc.int/sites/ndcstaging/PublishedDocuments/Marshall%20Islands%20Second/20181122%20Marshall%20Islands%20NDC%20to%20UNFCCC%2022%20November%202018%20FINAL.pdf" TargetMode="External"/><Relationship Id="rId2" Type="http://schemas.openxmlformats.org/officeDocument/2006/relationships/hyperlink" Target="https://policy.asiapacificenergy.org/sites/default/files/second_draft_nauru_energy_road_map_v6_0.pdf" TargetMode="External"/><Relationship Id="rId1" Type="http://schemas.openxmlformats.org/officeDocument/2006/relationships/hyperlink" Target="http://www.gn-sec.net" TargetMode="External"/><Relationship Id="rId6" Type="http://schemas.openxmlformats.org/officeDocument/2006/relationships/hyperlink" Target="https://gggi.org/site/assets/uploads/2018/12/Fiji-LEDS-2018_DIGITAL.pdf" TargetMode="External"/><Relationship Id="rId5" Type="http://schemas.openxmlformats.org/officeDocument/2006/relationships/hyperlink" Target="https://www4.unfccc.int/sites/ndcstaging/PublishedDocuments/Marshall%20Islands%20Second/20181122%20Marshall%20Islands%20NDC%20to%20UNFCCC%2022%20November%202018%20FINAL.pdf" TargetMode="External"/><Relationship Id="rId10" Type="http://schemas.openxmlformats.org/officeDocument/2006/relationships/hyperlink" Target="https://theicct.org/sites/default/files/publications/India_EV_State_Guidebook_20191007.pdf" TargetMode="External"/><Relationship Id="rId4" Type="http://schemas.openxmlformats.org/officeDocument/2006/relationships/hyperlink" Target="https://islands.irena.org/-/media/Files/IRENA/Sids/NavigatingourEnergyFutureMarshallIslandsElectricityRoadmapDecem.ashx" TargetMode="External"/><Relationship Id="rId9" Type="http://schemas.openxmlformats.org/officeDocument/2006/relationships/hyperlink" Target="http://tep-a.org/wp-content/uploads/2017/05/FRDP_2016_finalResilient_Dev_pacifi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A8EC7-2E86-49AE-A346-DB458D93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9633</Words>
  <Characters>54911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Campbell</dc:creator>
  <cp:keywords/>
  <dc:description/>
  <cp:lastModifiedBy>Andrew Campbell</cp:lastModifiedBy>
  <cp:revision>3</cp:revision>
  <cp:lastPrinted>2020-04-17T04:47:00Z</cp:lastPrinted>
  <dcterms:created xsi:type="dcterms:W3CDTF">2020-04-21T09:42:00Z</dcterms:created>
  <dcterms:modified xsi:type="dcterms:W3CDTF">2020-04-21T09:43:00Z</dcterms:modified>
</cp:coreProperties>
</file>