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F48D" w14:textId="759DC2CE" w:rsidR="007722BD" w:rsidRDefault="007722BD" w:rsidP="003B0045">
      <w:pPr>
        <w:spacing w:after="0"/>
        <w:jc w:val="center"/>
        <w:rPr>
          <w:rFonts w:ascii="Verdana" w:hAnsi="Verdana"/>
          <w:b/>
          <w:sz w:val="20"/>
          <w:szCs w:val="20"/>
        </w:rPr>
      </w:pPr>
    </w:p>
    <w:p w14:paraId="61F5D082" w14:textId="77B7701A" w:rsidR="00FC2063" w:rsidRDefault="00F1625C" w:rsidP="00C60415">
      <w:pPr>
        <w:spacing w:after="0"/>
        <w:jc w:val="center"/>
        <w:rPr>
          <w:rFonts w:ascii="Verdana" w:hAnsi="Verdana"/>
          <w:b/>
          <w:sz w:val="20"/>
          <w:szCs w:val="20"/>
        </w:rPr>
      </w:pPr>
      <w:r>
        <w:rPr>
          <w:rFonts w:ascii="Verdana" w:hAnsi="Verdana"/>
          <w:b/>
          <w:sz w:val="20"/>
          <w:szCs w:val="20"/>
        </w:rPr>
        <w:t>NATIONAL</w:t>
      </w:r>
      <w:r w:rsidR="006F20B9">
        <w:rPr>
          <w:rFonts w:ascii="Verdana" w:hAnsi="Verdana"/>
          <w:b/>
          <w:sz w:val="20"/>
          <w:szCs w:val="20"/>
        </w:rPr>
        <w:t xml:space="preserve"> ENERGY DIALOGUE</w:t>
      </w:r>
      <w:r>
        <w:rPr>
          <w:rFonts w:ascii="Verdana" w:hAnsi="Verdana"/>
          <w:b/>
          <w:sz w:val="20"/>
          <w:szCs w:val="20"/>
        </w:rPr>
        <w:t xml:space="preserve"> ON ADVANCING VANUATU’S ENERGY AND GHG MITIGATION TARGETS </w:t>
      </w:r>
    </w:p>
    <w:p w14:paraId="00844EEB" w14:textId="77777777" w:rsidR="00030A8E" w:rsidRDefault="00030A8E" w:rsidP="00C60415">
      <w:pPr>
        <w:spacing w:after="0"/>
        <w:jc w:val="center"/>
        <w:rPr>
          <w:rFonts w:ascii="Verdana" w:hAnsi="Verdana"/>
          <w:b/>
          <w:sz w:val="20"/>
          <w:szCs w:val="20"/>
        </w:rPr>
      </w:pPr>
    </w:p>
    <w:p w14:paraId="278C02F5" w14:textId="20C1C135" w:rsidR="00C60415" w:rsidRDefault="00F1625C" w:rsidP="00C60415">
      <w:pPr>
        <w:spacing w:after="0"/>
        <w:jc w:val="center"/>
        <w:rPr>
          <w:rFonts w:ascii="Verdana" w:hAnsi="Verdana"/>
          <w:b/>
          <w:sz w:val="20"/>
          <w:szCs w:val="20"/>
        </w:rPr>
      </w:pPr>
      <w:r>
        <w:rPr>
          <w:rFonts w:ascii="Verdana" w:hAnsi="Verdana"/>
          <w:b/>
          <w:sz w:val="20"/>
          <w:szCs w:val="20"/>
        </w:rPr>
        <w:t>Port Vila</w:t>
      </w:r>
      <w:r w:rsidR="00FB3735">
        <w:rPr>
          <w:rFonts w:ascii="Verdana" w:hAnsi="Verdana"/>
          <w:b/>
          <w:sz w:val="20"/>
          <w:szCs w:val="20"/>
        </w:rPr>
        <w:t xml:space="preserve">: </w:t>
      </w:r>
      <w:r w:rsidR="00823BBA">
        <w:rPr>
          <w:rFonts w:ascii="Verdana" w:hAnsi="Verdana"/>
          <w:b/>
          <w:sz w:val="20"/>
          <w:szCs w:val="20"/>
        </w:rPr>
        <w:t>2 – 6 September</w:t>
      </w:r>
      <w:r w:rsidR="00030A8E">
        <w:rPr>
          <w:rFonts w:ascii="Verdana" w:hAnsi="Verdana"/>
          <w:b/>
          <w:sz w:val="20"/>
          <w:szCs w:val="20"/>
        </w:rPr>
        <w:t xml:space="preserve"> 2019</w:t>
      </w:r>
    </w:p>
    <w:p w14:paraId="43EC9294" w14:textId="77777777" w:rsidR="00C60415" w:rsidRPr="00C60415" w:rsidRDefault="00C60415" w:rsidP="00C60415">
      <w:pPr>
        <w:spacing w:after="0"/>
        <w:jc w:val="center"/>
        <w:rPr>
          <w:rFonts w:ascii="Verdana" w:hAnsi="Verdana"/>
          <w:b/>
          <w:sz w:val="20"/>
          <w:szCs w:val="20"/>
        </w:rPr>
      </w:pPr>
    </w:p>
    <w:p w14:paraId="3114F893" w14:textId="77777777" w:rsidR="007722BD" w:rsidRPr="00C60415" w:rsidRDefault="007722BD" w:rsidP="00C60415">
      <w:pPr>
        <w:spacing w:after="0"/>
        <w:jc w:val="both"/>
        <w:rPr>
          <w:rFonts w:ascii="Verdana" w:hAnsi="Verdana"/>
          <w:b/>
          <w:sz w:val="20"/>
          <w:szCs w:val="20"/>
        </w:rPr>
      </w:pPr>
    </w:p>
    <w:p w14:paraId="4A627392" w14:textId="37FF5F44" w:rsidR="004A19A0" w:rsidRPr="00C60415" w:rsidRDefault="004A19A0" w:rsidP="00030A8E">
      <w:pPr>
        <w:spacing w:after="0"/>
        <w:jc w:val="center"/>
        <w:rPr>
          <w:rFonts w:ascii="Verdana" w:hAnsi="Verdana"/>
          <w:b/>
          <w:sz w:val="20"/>
          <w:szCs w:val="20"/>
        </w:rPr>
      </w:pPr>
      <w:r w:rsidRPr="00C60415">
        <w:rPr>
          <w:rFonts w:ascii="Verdana" w:hAnsi="Verdana"/>
          <w:b/>
          <w:sz w:val="20"/>
          <w:szCs w:val="20"/>
        </w:rPr>
        <w:t>Concept Note</w:t>
      </w:r>
    </w:p>
    <w:p w14:paraId="5AF67317" w14:textId="5A43979D" w:rsidR="004A19A0" w:rsidRPr="00C60415" w:rsidRDefault="004A19A0" w:rsidP="00C60415">
      <w:pPr>
        <w:jc w:val="both"/>
        <w:rPr>
          <w:rFonts w:ascii="Verdana" w:hAnsi="Verdana"/>
          <w:sz w:val="20"/>
          <w:szCs w:val="20"/>
        </w:rPr>
      </w:pPr>
    </w:p>
    <w:p w14:paraId="60FA740B" w14:textId="70D973C8" w:rsidR="00124E8E" w:rsidRPr="00C60415" w:rsidRDefault="002F3D3B"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Background</w:t>
      </w:r>
    </w:p>
    <w:p w14:paraId="120D9F9C" w14:textId="6640546B" w:rsidR="00771084" w:rsidRPr="00C60415" w:rsidRDefault="00771084" w:rsidP="00C60415">
      <w:pPr>
        <w:spacing w:after="0" w:line="240" w:lineRule="auto"/>
        <w:jc w:val="both"/>
        <w:rPr>
          <w:rFonts w:ascii="Verdana" w:hAnsi="Verdana"/>
          <w:b/>
          <w:sz w:val="20"/>
          <w:szCs w:val="20"/>
          <w:u w:val="single"/>
        </w:rPr>
      </w:pPr>
    </w:p>
    <w:p w14:paraId="24FADC26" w14:textId="0017F953" w:rsidR="007950E4" w:rsidRPr="00C60415" w:rsidRDefault="007950E4" w:rsidP="00C60415">
      <w:pPr>
        <w:jc w:val="both"/>
        <w:rPr>
          <w:rFonts w:ascii="Verdana" w:hAnsi="Verdana"/>
          <w:color w:val="000000" w:themeColor="text1"/>
          <w:sz w:val="20"/>
          <w:szCs w:val="20"/>
        </w:rPr>
      </w:pPr>
      <w:r w:rsidRPr="00C60415">
        <w:rPr>
          <w:rFonts w:ascii="Verdana" w:hAnsi="Verdana"/>
          <w:color w:val="000000" w:themeColor="text1"/>
          <w:sz w:val="20"/>
          <w:szCs w:val="20"/>
        </w:rPr>
        <w:t xml:space="preserve">The Pacific Centre for Renewable Energy and Energy Efficiency (PCREEE) was established in April 2017 as a regional vehicle for accelerating the uptake of feasible renewable energy and energy efficient technologies in the Pacific islands Countries and Territories. </w:t>
      </w:r>
    </w:p>
    <w:p w14:paraId="70E51171" w14:textId="71E46F31" w:rsidR="00BD22E6" w:rsidRPr="00C60415" w:rsidRDefault="00BD22E6" w:rsidP="00C60415">
      <w:pPr>
        <w:keepNext/>
        <w:ind w:left="-5"/>
        <w:jc w:val="both"/>
        <w:rPr>
          <w:rFonts w:ascii="Verdana" w:eastAsia="Arial Unicode MS" w:hAnsi="Verdana" w:cs="Arial"/>
          <w:sz w:val="20"/>
          <w:szCs w:val="20"/>
        </w:rPr>
      </w:pPr>
      <w:r w:rsidRPr="00C60415">
        <w:rPr>
          <w:rFonts w:ascii="Verdana" w:eastAsia="Arial Unicode MS" w:hAnsi="Verdana" w:cs="Arial"/>
          <w:sz w:val="20"/>
          <w:szCs w:val="20"/>
        </w:rPr>
        <w:t xml:space="preserve">Outcome 3 of the PCREEE is about </w:t>
      </w:r>
      <w:r w:rsidR="002F42AC" w:rsidRPr="00C60415">
        <w:rPr>
          <w:rFonts w:ascii="Verdana" w:eastAsia="Arial Unicode MS" w:hAnsi="Verdana" w:cs="Arial"/>
          <w:sz w:val="20"/>
          <w:szCs w:val="20"/>
        </w:rPr>
        <w:t xml:space="preserve">Strengthened </w:t>
      </w:r>
      <w:r w:rsidRPr="00C60415">
        <w:rPr>
          <w:rFonts w:ascii="Verdana" w:hAnsi="Verdana" w:cs="Arial"/>
          <w:i/>
          <w:sz w:val="20"/>
          <w:szCs w:val="20"/>
        </w:rPr>
        <w:t>awareness and knowledge base of local key institutions and stakeholder groups on RE</w:t>
      </w:r>
      <w:r w:rsidR="002F42AC" w:rsidRPr="00C60415">
        <w:rPr>
          <w:rFonts w:ascii="Verdana" w:hAnsi="Verdana" w:cs="Arial"/>
          <w:i/>
          <w:sz w:val="20"/>
          <w:szCs w:val="20"/>
        </w:rPr>
        <w:t xml:space="preserve"> </w:t>
      </w:r>
      <w:r w:rsidRPr="00C60415">
        <w:rPr>
          <w:rFonts w:ascii="Verdana" w:hAnsi="Verdana" w:cs="Arial"/>
          <w:i/>
          <w:sz w:val="20"/>
          <w:szCs w:val="20"/>
        </w:rPr>
        <w:t>&amp;</w:t>
      </w:r>
      <w:r w:rsidR="002F42AC" w:rsidRPr="00C60415">
        <w:rPr>
          <w:rFonts w:ascii="Verdana" w:hAnsi="Verdana" w:cs="Arial"/>
          <w:i/>
          <w:sz w:val="20"/>
          <w:szCs w:val="20"/>
        </w:rPr>
        <w:t xml:space="preserve"> </w:t>
      </w:r>
      <w:r w:rsidRPr="00C60415">
        <w:rPr>
          <w:rFonts w:ascii="Verdana" w:hAnsi="Verdana" w:cs="Arial"/>
          <w:i/>
          <w:sz w:val="20"/>
          <w:szCs w:val="20"/>
        </w:rPr>
        <w:t>EE</w:t>
      </w:r>
      <w:r w:rsidR="002F42AC" w:rsidRPr="00C60415">
        <w:rPr>
          <w:rFonts w:ascii="Verdana" w:hAnsi="Verdana" w:cs="Arial"/>
          <w:i/>
          <w:sz w:val="20"/>
          <w:szCs w:val="20"/>
        </w:rPr>
        <w:t>.</w:t>
      </w:r>
      <w:r w:rsidRPr="00C60415">
        <w:rPr>
          <w:rFonts w:ascii="Verdana" w:eastAsia="Arial Unicode MS" w:hAnsi="Verdana" w:cs="Arial"/>
          <w:sz w:val="20"/>
          <w:szCs w:val="20"/>
        </w:rPr>
        <w:t xml:space="preserve"> </w:t>
      </w:r>
    </w:p>
    <w:p w14:paraId="4C25D39E" w14:textId="4E5A2109" w:rsidR="00BD22E6" w:rsidRPr="00C60415" w:rsidRDefault="00AB0C78" w:rsidP="00C60415">
      <w:pPr>
        <w:keepNext/>
        <w:ind w:left="-5"/>
        <w:jc w:val="both"/>
        <w:rPr>
          <w:rFonts w:ascii="Verdana" w:hAnsi="Verdana" w:cs="Arial"/>
          <w:sz w:val="20"/>
          <w:szCs w:val="20"/>
        </w:rPr>
      </w:pPr>
      <w:r w:rsidRPr="00C60415">
        <w:rPr>
          <w:rFonts w:ascii="Verdana" w:eastAsia="Arial Unicode MS" w:hAnsi="Verdana" w:cs="Arial"/>
          <w:sz w:val="20"/>
          <w:szCs w:val="20"/>
        </w:rPr>
        <w:t>Outcome 4 is about Increased RE</w:t>
      </w:r>
      <w:r w:rsidR="002F42AC" w:rsidRPr="00C60415">
        <w:rPr>
          <w:rFonts w:ascii="Verdana" w:eastAsia="Arial Unicode MS" w:hAnsi="Verdana" w:cs="Arial"/>
          <w:sz w:val="20"/>
          <w:szCs w:val="20"/>
        </w:rPr>
        <w:t xml:space="preserve"> </w:t>
      </w:r>
      <w:r w:rsidRPr="00C60415">
        <w:rPr>
          <w:rFonts w:ascii="Verdana" w:eastAsia="Arial Unicode MS" w:hAnsi="Verdana" w:cs="Arial"/>
          <w:sz w:val="20"/>
          <w:szCs w:val="20"/>
        </w:rPr>
        <w:t>&amp;</w:t>
      </w:r>
      <w:r w:rsidR="002F42AC" w:rsidRPr="00C60415">
        <w:rPr>
          <w:rFonts w:ascii="Verdana" w:eastAsia="Arial Unicode MS" w:hAnsi="Verdana" w:cs="Arial"/>
          <w:sz w:val="20"/>
          <w:szCs w:val="20"/>
        </w:rPr>
        <w:t xml:space="preserve"> </w:t>
      </w:r>
      <w:r w:rsidRPr="00C60415">
        <w:rPr>
          <w:rFonts w:ascii="Verdana" w:eastAsia="Arial Unicode MS" w:hAnsi="Verdana" w:cs="Arial"/>
          <w:sz w:val="20"/>
          <w:szCs w:val="20"/>
        </w:rPr>
        <w:t>EE business opportunities for local companies and industry through the development and implementation of regional investment promotion programs and tailored financial schemes</w:t>
      </w:r>
      <w:r w:rsidR="002F42AC" w:rsidRPr="00C60415">
        <w:rPr>
          <w:rFonts w:ascii="Verdana" w:eastAsia="Arial Unicode MS" w:hAnsi="Verdana" w:cs="Arial"/>
          <w:sz w:val="20"/>
          <w:szCs w:val="20"/>
        </w:rPr>
        <w:t>.</w:t>
      </w:r>
    </w:p>
    <w:p w14:paraId="528D6060" w14:textId="023903A2" w:rsidR="00D854EF" w:rsidRPr="00C60415" w:rsidRDefault="007950E4" w:rsidP="00C60415">
      <w:pPr>
        <w:jc w:val="both"/>
        <w:rPr>
          <w:rFonts w:ascii="Verdana" w:hAnsi="Verdana"/>
          <w:color w:val="000000" w:themeColor="text1"/>
          <w:sz w:val="20"/>
          <w:szCs w:val="20"/>
        </w:rPr>
      </w:pPr>
      <w:r w:rsidRPr="00C60415">
        <w:rPr>
          <w:rFonts w:ascii="Verdana" w:hAnsi="Verdana"/>
          <w:color w:val="000000" w:themeColor="text1"/>
          <w:sz w:val="20"/>
          <w:szCs w:val="20"/>
        </w:rPr>
        <w:t xml:space="preserve">A number of PICs, including </w:t>
      </w:r>
      <w:r w:rsidR="0024552C">
        <w:rPr>
          <w:rFonts w:ascii="Verdana" w:hAnsi="Verdana"/>
          <w:color w:val="000000" w:themeColor="text1"/>
          <w:sz w:val="20"/>
          <w:szCs w:val="20"/>
        </w:rPr>
        <w:t>Vanuatu</w:t>
      </w:r>
      <w:r w:rsidRPr="00C60415">
        <w:rPr>
          <w:rFonts w:ascii="Verdana" w:hAnsi="Verdana"/>
          <w:color w:val="000000" w:themeColor="text1"/>
          <w:sz w:val="20"/>
          <w:szCs w:val="20"/>
        </w:rPr>
        <w:t xml:space="preserve">, expressed interest in </w:t>
      </w:r>
      <w:r w:rsidR="0024552C">
        <w:rPr>
          <w:rFonts w:ascii="Verdana" w:hAnsi="Verdana"/>
          <w:color w:val="000000" w:themeColor="text1"/>
          <w:sz w:val="20"/>
          <w:szCs w:val="20"/>
        </w:rPr>
        <w:t>capacity building promotion of entrepreneurship and the strengthened coordination of the private sector</w:t>
      </w:r>
      <w:r w:rsidRPr="00C60415">
        <w:rPr>
          <w:rFonts w:ascii="Verdana" w:hAnsi="Verdana"/>
          <w:color w:val="000000" w:themeColor="text1"/>
          <w:sz w:val="20"/>
          <w:szCs w:val="20"/>
        </w:rPr>
        <w:t xml:space="preserve">. </w:t>
      </w:r>
      <w:r w:rsidR="00C35004" w:rsidRPr="00C60415">
        <w:rPr>
          <w:rFonts w:ascii="Verdana" w:hAnsi="Verdana"/>
          <w:color w:val="000000" w:themeColor="text1"/>
          <w:sz w:val="20"/>
          <w:szCs w:val="20"/>
        </w:rPr>
        <w:t xml:space="preserve">The </w:t>
      </w:r>
      <w:r w:rsidR="009C1CCE">
        <w:rPr>
          <w:rFonts w:ascii="Verdana" w:hAnsi="Verdana"/>
          <w:color w:val="000000" w:themeColor="text1"/>
          <w:sz w:val="20"/>
          <w:szCs w:val="20"/>
        </w:rPr>
        <w:t>Vanuatu National</w:t>
      </w:r>
      <w:r w:rsidR="00C35004" w:rsidRPr="00C60415">
        <w:rPr>
          <w:rFonts w:ascii="Verdana" w:hAnsi="Verdana"/>
          <w:color w:val="000000" w:themeColor="text1"/>
          <w:sz w:val="20"/>
          <w:szCs w:val="20"/>
        </w:rPr>
        <w:t xml:space="preserve"> Energy Roadmap and Strategic Plan emphasized the importance of educating stakeholders on RE and EE. </w:t>
      </w:r>
      <w:r w:rsidRPr="00C60415">
        <w:rPr>
          <w:rFonts w:ascii="Verdana" w:hAnsi="Verdana"/>
          <w:color w:val="000000" w:themeColor="text1"/>
          <w:sz w:val="20"/>
          <w:szCs w:val="20"/>
        </w:rPr>
        <w:t xml:space="preserve">On </w:t>
      </w:r>
      <w:r w:rsidR="008775C1">
        <w:rPr>
          <w:rFonts w:ascii="Verdana" w:hAnsi="Verdana"/>
          <w:color w:val="000000" w:themeColor="text1"/>
          <w:sz w:val="20"/>
          <w:szCs w:val="20"/>
        </w:rPr>
        <w:t>24</w:t>
      </w:r>
      <w:r w:rsidRPr="00C60415">
        <w:rPr>
          <w:rFonts w:ascii="Verdana" w:hAnsi="Verdana"/>
          <w:color w:val="000000" w:themeColor="text1"/>
          <w:sz w:val="20"/>
          <w:szCs w:val="20"/>
          <w:vertAlign w:val="superscript"/>
        </w:rPr>
        <w:t>th</w:t>
      </w:r>
      <w:r w:rsidRPr="00C60415">
        <w:rPr>
          <w:rFonts w:ascii="Verdana" w:hAnsi="Verdana"/>
          <w:color w:val="000000" w:themeColor="text1"/>
          <w:sz w:val="20"/>
          <w:szCs w:val="20"/>
        </w:rPr>
        <w:t xml:space="preserve"> </w:t>
      </w:r>
      <w:r w:rsidR="008775C1">
        <w:rPr>
          <w:rFonts w:ascii="Verdana" w:hAnsi="Verdana"/>
          <w:color w:val="000000" w:themeColor="text1"/>
          <w:sz w:val="20"/>
          <w:szCs w:val="20"/>
        </w:rPr>
        <w:t>May</w:t>
      </w:r>
      <w:r w:rsidRPr="00C60415">
        <w:rPr>
          <w:rFonts w:ascii="Verdana" w:hAnsi="Verdana"/>
          <w:color w:val="000000" w:themeColor="text1"/>
          <w:sz w:val="20"/>
          <w:szCs w:val="20"/>
        </w:rPr>
        <w:t xml:space="preserve"> 2019, the Ministry of </w:t>
      </w:r>
      <w:r w:rsidR="008775C1">
        <w:rPr>
          <w:rFonts w:ascii="Verdana" w:hAnsi="Verdana"/>
          <w:color w:val="000000" w:themeColor="text1"/>
          <w:sz w:val="20"/>
          <w:szCs w:val="20"/>
        </w:rPr>
        <w:t>Climate Change and Energy in Vanuatu through the Department of Energy</w:t>
      </w:r>
      <w:r w:rsidRPr="00C60415">
        <w:rPr>
          <w:rFonts w:ascii="Verdana" w:hAnsi="Verdana"/>
          <w:color w:val="000000" w:themeColor="text1"/>
          <w:sz w:val="20"/>
          <w:szCs w:val="20"/>
        </w:rPr>
        <w:t xml:space="preserve"> </w:t>
      </w:r>
      <w:r w:rsidR="00D854EF" w:rsidRPr="00C60415">
        <w:rPr>
          <w:rFonts w:ascii="Verdana" w:hAnsi="Verdana"/>
          <w:color w:val="000000" w:themeColor="text1"/>
          <w:sz w:val="20"/>
          <w:szCs w:val="20"/>
        </w:rPr>
        <w:t>for</w:t>
      </w:r>
      <w:r w:rsidRPr="00C60415">
        <w:rPr>
          <w:rFonts w:ascii="Verdana" w:hAnsi="Verdana"/>
          <w:color w:val="000000" w:themeColor="text1"/>
          <w:sz w:val="20"/>
          <w:szCs w:val="20"/>
        </w:rPr>
        <w:t xml:space="preserve">mally wrote to the PCREEE and </w:t>
      </w:r>
      <w:r w:rsidR="00D854EF" w:rsidRPr="00C60415">
        <w:rPr>
          <w:rFonts w:ascii="Verdana" w:hAnsi="Verdana"/>
          <w:color w:val="000000" w:themeColor="text1"/>
          <w:sz w:val="20"/>
          <w:szCs w:val="20"/>
        </w:rPr>
        <w:t>requested</w:t>
      </w:r>
      <w:r w:rsidR="008775C1">
        <w:rPr>
          <w:rFonts w:ascii="Verdana" w:hAnsi="Verdana"/>
          <w:color w:val="000000" w:themeColor="text1"/>
          <w:sz w:val="20"/>
          <w:szCs w:val="20"/>
        </w:rPr>
        <w:t xml:space="preserve"> for a DoE-</w:t>
      </w:r>
      <w:r w:rsidR="00D854EF" w:rsidRPr="00C60415">
        <w:rPr>
          <w:rFonts w:ascii="Verdana" w:hAnsi="Verdana"/>
          <w:color w:val="000000" w:themeColor="text1"/>
          <w:sz w:val="20"/>
          <w:szCs w:val="20"/>
        </w:rPr>
        <w:t>PCREEE</w:t>
      </w:r>
      <w:r w:rsidR="008775C1">
        <w:rPr>
          <w:rFonts w:ascii="Verdana" w:hAnsi="Verdana"/>
          <w:color w:val="000000" w:themeColor="text1"/>
          <w:sz w:val="20"/>
          <w:szCs w:val="20"/>
        </w:rPr>
        <w:t xml:space="preserve"> Collaboration with emphasis on the provision of technical support from the PCREEE. The support is heavily focused on providing RE and EE training and strengthening the private sector while promoting entrepreneurship and enhancing the institutional frameworks </w:t>
      </w:r>
      <w:r w:rsidR="00133DF0">
        <w:rPr>
          <w:rFonts w:ascii="Verdana" w:hAnsi="Verdana"/>
          <w:color w:val="000000" w:themeColor="text1"/>
          <w:sz w:val="20"/>
          <w:szCs w:val="20"/>
        </w:rPr>
        <w:t>for sustainable energy management.</w:t>
      </w:r>
      <w:r w:rsidR="00D854EF" w:rsidRPr="00C60415">
        <w:rPr>
          <w:rFonts w:ascii="Verdana" w:hAnsi="Verdana"/>
          <w:color w:val="000000" w:themeColor="text1"/>
          <w:sz w:val="20"/>
          <w:szCs w:val="20"/>
        </w:rPr>
        <w:t xml:space="preserve"> </w:t>
      </w:r>
    </w:p>
    <w:p w14:paraId="1C490210" w14:textId="34937FA6" w:rsidR="00512117" w:rsidRDefault="00D854EF" w:rsidP="00C60415">
      <w:pPr>
        <w:jc w:val="both"/>
        <w:rPr>
          <w:rFonts w:ascii="Verdana" w:hAnsi="Verdana"/>
          <w:color w:val="000000" w:themeColor="text1"/>
          <w:sz w:val="20"/>
          <w:szCs w:val="20"/>
        </w:rPr>
      </w:pPr>
      <w:r w:rsidRPr="00C60415">
        <w:rPr>
          <w:rFonts w:ascii="Verdana" w:hAnsi="Verdana"/>
          <w:color w:val="000000" w:themeColor="text1"/>
          <w:sz w:val="20"/>
          <w:szCs w:val="20"/>
        </w:rPr>
        <w:t>The PCREEE has l</w:t>
      </w:r>
      <w:r w:rsidR="003732CC" w:rsidRPr="00C60415">
        <w:rPr>
          <w:rFonts w:ascii="Verdana" w:hAnsi="Verdana"/>
          <w:color w:val="000000" w:themeColor="text1"/>
          <w:sz w:val="20"/>
          <w:szCs w:val="20"/>
        </w:rPr>
        <w:t>o</w:t>
      </w:r>
      <w:r w:rsidRPr="00C60415">
        <w:rPr>
          <w:rFonts w:ascii="Verdana" w:hAnsi="Verdana"/>
          <w:color w:val="000000" w:themeColor="text1"/>
          <w:sz w:val="20"/>
          <w:szCs w:val="20"/>
        </w:rPr>
        <w:t xml:space="preserve">oked at </w:t>
      </w:r>
      <w:r w:rsidR="00133DF0">
        <w:rPr>
          <w:rFonts w:ascii="Verdana" w:hAnsi="Verdana"/>
          <w:color w:val="000000" w:themeColor="text1"/>
          <w:sz w:val="20"/>
          <w:szCs w:val="20"/>
        </w:rPr>
        <w:t>Vanuatu</w:t>
      </w:r>
      <w:r w:rsidRPr="00C60415">
        <w:rPr>
          <w:rFonts w:ascii="Verdana" w:hAnsi="Verdana"/>
          <w:color w:val="000000" w:themeColor="text1"/>
          <w:sz w:val="20"/>
          <w:szCs w:val="20"/>
        </w:rPr>
        <w:t xml:space="preserve">’s request and </w:t>
      </w:r>
      <w:r w:rsidR="007427FA">
        <w:rPr>
          <w:rFonts w:ascii="Verdana" w:hAnsi="Verdana"/>
          <w:color w:val="000000" w:themeColor="text1"/>
          <w:sz w:val="20"/>
          <w:szCs w:val="20"/>
        </w:rPr>
        <w:t xml:space="preserve">has </w:t>
      </w:r>
      <w:r w:rsidR="00390798">
        <w:rPr>
          <w:rFonts w:ascii="Verdana" w:hAnsi="Verdana"/>
          <w:color w:val="000000" w:themeColor="text1"/>
          <w:sz w:val="20"/>
          <w:szCs w:val="20"/>
        </w:rPr>
        <w:t xml:space="preserve">agreed to work in collaboration with the Department of Energy to organize a </w:t>
      </w:r>
      <w:r w:rsidR="00DD316B">
        <w:rPr>
          <w:rFonts w:ascii="Verdana" w:hAnsi="Verdana"/>
          <w:color w:val="000000" w:themeColor="text1"/>
          <w:sz w:val="20"/>
          <w:szCs w:val="20"/>
        </w:rPr>
        <w:t>5</w:t>
      </w:r>
      <w:r w:rsidR="00390798">
        <w:rPr>
          <w:rFonts w:ascii="Verdana" w:hAnsi="Verdana"/>
          <w:color w:val="000000" w:themeColor="text1"/>
          <w:sz w:val="20"/>
          <w:szCs w:val="20"/>
        </w:rPr>
        <w:t xml:space="preserve"> days workshop for the promotion</w:t>
      </w:r>
      <w:r w:rsidR="00351B1C">
        <w:rPr>
          <w:rFonts w:ascii="Verdana" w:hAnsi="Verdana"/>
          <w:color w:val="000000" w:themeColor="text1"/>
          <w:sz w:val="20"/>
          <w:szCs w:val="20"/>
        </w:rPr>
        <w:t xml:space="preserve"> of</w:t>
      </w:r>
      <w:r w:rsidR="00390798">
        <w:rPr>
          <w:rFonts w:ascii="Verdana" w:hAnsi="Verdana"/>
          <w:color w:val="000000" w:themeColor="text1"/>
          <w:sz w:val="20"/>
          <w:szCs w:val="20"/>
        </w:rPr>
        <w:t xml:space="preserve"> RE&amp;EE technologies</w:t>
      </w:r>
      <w:r w:rsidR="00512117">
        <w:rPr>
          <w:rFonts w:ascii="Verdana" w:hAnsi="Verdana"/>
          <w:color w:val="000000" w:themeColor="text1"/>
          <w:sz w:val="20"/>
          <w:szCs w:val="20"/>
        </w:rPr>
        <w:t xml:space="preserve">, </w:t>
      </w:r>
      <w:r w:rsidR="00390798">
        <w:rPr>
          <w:rFonts w:ascii="Verdana" w:hAnsi="Verdana"/>
          <w:color w:val="000000" w:themeColor="text1"/>
          <w:sz w:val="20"/>
          <w:szCs w:val="20"/>
        </w:rPr>
        <w:t xml:space="preserve">productive uses of RE&amp;EE initiatives </w:t>
      </w:r>
      <w:r w:rsidR="00512117">
        <w:rPr>
          <w:rFonts w:ascii="Verdana" w:hAnsi="Verdana"/>
          <w:color w:val="000000" w:themeColor="text1"/>
          <w:sz w:val="20"/>
          <w:szCs w:val="20"/>
        </w:rPr>
        <w:t xml:space="preserve">and stimulating private sector participation in sustainable energy sector in Vanuatu. </w:t>
      </w:r>
    </w:p>
    <w:p w14:paraId="20194689" w14:textId="0AEBBFEF" w:rsidR="00BA17BA" w:rsidRPr="00C60415" w:rsidRDefault="00C35004"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 xml:space="preserve">Introduction </w:t>
      </w:r>
    </w:p>
    <w:p w14:paraId="53F42ABC" w14:textId="012983AF" w:rsidR="00B44087" w:rsidRPr="00C60415" w:rsidRDefault="00B44087" w:rsidP="00C60415">
      <w:pPr>
        <w:spacing w:after="0" w:line="240" w:lineRule="auto"/>
        <w:jc w:val="both"/>
        <w:rPr>
          <w:rFonts w:ascii="Verdana" w:hAnsi="Verdana"/>
          <w:sz w:val="20"/>
          <w:szCs w:val="20"/>
        </w:rPr>
      </w:pPr>
    </w:p>
    <w:p w14:paraId="0DD9C055" w14:textId="2AA48DBC" w:rsidR="005F662D" w:rsidRDefault="00B44087" w:rsidP="00C60415">
      <w:pPr>
        <w:spacing w:after="0" w:line="240" w:lineRule="auto"/>
        <w:jc w:val="both"/>
        <w:rPr>
          <w:rFonts w:ascii="Verdana" w:hAnsi="Verdana"/>
          <w:sz w:val="20"/>
          <w:szCs w:val="20"/>
        </w:rPr>
      </w:pPr>
      <w:r w:rsidRPr="00C60415">
        <w:rPr>
          <w:rFonts w:ascii="Verdana" w:hAnsi="Verdana"/>
          <w:sz w:val="20"/>
          <w:szCs w:val="20"/>
        </w:rPr>
        <w:t>In 201</w:t>
      </w:r>
      <w:r w:rsidR="00015909">
        <w:rPr>
          <w:rFonts w:ascii="Verdana" w:hAnsi="Verdana"/>
          <w:sz w:val="20"/>
          <w:szCs w:val="20"/>
        </w:rPr>
        <w:t>4</w:t>
      </w:r>
      <w:r w:rsidRPr="00C60415">
        <w:rPr>
          <w:rFonts w:ascii="Verdana" w:hAnsi="Verdana"/>
          <w:sz w:val="20"/>
          <w:szCs w:val="20"/>
        </w:rPr>
        <w:t xml:space="preserve">, </w:t>
      </w:r>
      <w:r w:rsidR="00015909">
        <w:rPr>
          <w:rFonts w:ascii="Verdana" w:hAnsi="Verdana"/>
          <w:sz w:val="20"/>
          <w:szCs w:val="20"/>
        </w:rPr>
        <w:t>Vanuatu</w:t>
      </w:r>
      <w:r w:rsidRPr="00C60415">
        <w:rPr>
          <w:rFonts w:ascii="Verdana" w:hAnsi="Verdana"/>
          <w:sz w:val="20"/>
          <w:szCs w:val="20"/>
        </w:rPr>
        <w:t xml:space="preserve"> adopted </w:t>
      </w:r>
      <w:r w:rsidR="00AC63E6" w:rsidRPr="00C60415">
        <w:rPr>
          <w:rFonts w:ascii="Verdana" w:hAnsi="Verdana"/>
          <w:sz w:val="20"/>
          <w:szCs w:val="20"/>
        </w:rPr>
        <w:t xml:space="preserve">the </w:t>
      </w:r>
      <w:r w:rsidR="00015909">
        <w:rPr>
          <w:rFonts w:ascii="Verdana" w:hAnsi="Verdana"/>
          <w:sz w:val="20"/>
          <w:szCs w:val="20"/>
        </w:rPr>
        <w:t>National Energy Road Map (NERM)</w:t>
      </w:r>
      <w:r w:rsidR="00E821EB">
        <w:rPr>
          <w:rFonts w:ascii="Verdana" w:hAnsi="Verdana"/>
          <w:sz w:val="20"/>
          <w:szCs w:val="20"/>
        </w:rPr>
        <w:t xml:space="preserve"> 2014-2030</w:t>
      </w:r>
      <w:r w:rsidR="00015909">
        <w:rPr>
          <w:rFonts w:ascii="Verdana" w:hAnsi="Verdana"/>
          <w:sz w:val="20"/>
          <w:szCs w:val="20"/>
        </w:rPr>
        <w:t xml:space="preserve"> and later updated to NERM 2016-2030 with the vision of energizing Vanuatu’s growth and develop</w:t>
      </w:r>
      <w:r w:rsidR="005F662D">
        <w:rPr>
          <w:rFonts w:ascii="Verdana" w:hAnsi="Verdana"/>
          <w:sz w:val="20"/>
          <w:szCs w:val="20"/>
        </w:rPr>
        <w:t>ment through the provision of secure, affordable, widely accessible, high quality and sustainable energy. The NERM has five priority area</w:t>
      </w:r>
      <w:r w:rsidR="006F20B9">
        <w:rPr>
          <w:rFonts w:ascii="Verdana" w:hAnsi="Verdana"/>
          <w:sz w:val="20"/>
          <w:szCs w:val="20"/>
        </w:rPr>
        <w:t xml:space="preserve"> targets</w:t>
      </w:r>
      <w:r w:rsidR="005F662D">
        <w:rPr>
          <w:rFonts w:ascii="Verdana" w:hAnsi="Verdana"/>
          <w:sz w:val="20"/>
          <w:szCs w:val="20"/>
        </w:rPr>
        <w:t xml:space="preserve"> for the energy sector which are; 100% access through RE by 2</w:t>
      </w:r>
      <w:r w:rsidR="006F20B9">
        <w:rPr>
          <w:rFonts w:ascii="Verdana" w:hAnsi="Verdana"/>
          <w:sz w:val="20"/>
          <w:szCs w:val="20"/>
        </w:rPr>
        <w:t>03</w:t>
      </w:r>
      <w:r w:rsidR="005F662D">
        <w:rPr>
          <w:rFonts w:ascii="Verdana" w:hAnsi="Verdana"/>
          <w:sz w:val="20"/>
          <w:szCs w:val="20"/>
        </w:rPr>
        <w:t xml:space="preserve">0, </w:t>
      </w:r>
      <w:r w:rsidR="006F20B9">
        <w:rPr>
          <w:rFonts w:ascii="Verdana" w:hAnsi="Verdana"/>
          <w:sz w:val="20"/>
          <w:szCs w:val="20"/>
        </w:rPr>
        <w:t xml:space="preserve">increased efficiency in </w:t>
      </w:r>
      <w:r w:rsidR="005F662D">
        <w:rPr>
          <w:rFonts w:ascii="Verdana" w:hAnsi="Verdana"/>
          <w:sz w:val="20"/>
          <w:szCs w:val="20"/>
        </w:rPr>
        <w:t xml:space="preserve">petroleum supply, </w:t>
      </w:r>
      <w:r w:rsidR="006F20B9">
        <w:rPr>
          <w:rFonts w:ascii="Verdana" w:hAnsi="Verdana"/>
          <w:sz w:val="20"/>
          <w:szCs w:val="20"/>
        </w:rPr>
        <w:t xml:space="preserve">increased </w:t>
      </w:r>
      <w:r w:rsidR="005F662D">
        <w:rPr>
          <w:rFonts w:ascii="Verdana" w:hAnsi="Verdana"/>
          <w:sz w:val="20"/>
          <w:szCs w:val="20"/>
        </w:rPr>
        <w:t xml:space="preserve">affordability, energy security and </w:t>
      </w:r>
      <w:r w:rsidR="006F20B9">
        <w:rPr>
          <w:rFonts w:ascii="Verdana" w:hAnsi="Verdana"/>
          <w:sz w:val="20"/>
          <w:szCs w:val="20"/>
        </w:rPr>
        <w:t>green growth</w:t>
      </w:r>
      <w:r w:rsidR="005F662D">
        <w:rPr>
          <w:rFonts w:ascii="Verdana" w:hAnsi="Verdana"/>
          <w:sz w:val="20"/>
          <w:szCs w:val="20"/>
        </w:rPr>
        <w:t xml:space="preserve">. They set objectives, targets and actions to achieve the NERM’s vision.  </w:t>
      </w:r>
    </w:p>
    <w:p w14:paraId="1F4AC6BB" w14:textId="77777777" w:rsidR="005F662D" w:rsidRDefault="005F662D" w:rsidP="00C60415">
      <w:pPr>
        <w:spacing w:after="0" w:line="240" w:lineRule="auto"/>
        <w:jc w:val="both"/>
        <w:rPr>
          <w:rFonts w:ascii="Verdana" w:hAnsi="Verdana"/>
          <w:sz w:val="20"/>
          <w:szCs w:val="20"/>
        </w:rPr>
      </w:pPr>
    </w:p>
    <w:p w14:paraId="44D9973B" w14:textId="651656EC" w:rsidR="000A60BC" w:rsidRDefault="00705EC0" w:rsidP="00C60415">
      <w:pPr>
        <w:spacing w:after="0" w:line="240" w:lineRule="auto"/>
        <w:jc w:val="both"/>
        <w:rPr>
          <w:rFonts w:ascii="Verdana" w:hAnsi="Verdana"/>
          <w:sz w:val="20"/>
          <w:szCs w:val="20"/>
        </w:rPr>
      </w:pPr>
      <w:r>
        <w:rPr>
          <w:rFonts w:ascii="Verdana" w:hAnsi="Verdana"/>
          <w:sz w:val="20"/>
          <w:szCs w:val="20"/>
        </w:rPr>
        <w:lastRenderedPageBreak/>
        <w:t xml:space="preserve">The </w:t>
      </w:r>
      <w:r w:rsidR="006F20B9">
        <w:rPr>
          <w:rFonts w:ascii="Verdana" w:hAnsi="Verdana"/>
          <w:sz w:val="20"/>
          <w:szCs w:val="20"/>
        </w:rPr>
        <w:t>Vanuatu</w:t>
      </w:r>
      <w:r>
        <w:rPr>
          <w:rFonts w:ascii="Verdana" w:hAnsi="Verdana"/>
          <w:sz w:val="20"/>
          <w:szCs w:val="20"/>
        </w:rPr>
        <w:t xml:space="preserve"> government ratified the Paris Climate Change Agreement on the </w:t>
      </w:r>
      <w:r w:rsidR="000A60BC">
        <w:rPr>
          <w:rFonts w:ascii="Verdana" w:hAnsi="Verdana"/>
          <w:sz w:val="20"/>
          <w:szCs w:val="20"/>
        </w:rPr>
        <w:t>21</w:t>
      </w:r>
      <w:r w:rsidR="000A60BC" w:rsidRPr="000A60BC">
        <w:rPr>
          <w:rFonts w:ascii="Verdana" w:hAnsi="Verdana"/>
          <w:sz w:val="20"/>
          <w:szCs w:val="20"/>
          <w:vertAlign w:val="superscript"/>
        </w:rPr>
        <w:t>st</w:t>
      </w:r>
      <w:r w:rsidR="000A60BC">
        <w:rPr>
          <w:rFonts w:ascii="Verdana" w:hAnsi="Verdana"/>
          <w:sz w:val="20"/>
          <w:szCs w:val="20"/>
        </w:rPr>
        <w:t xml:space="preserve"> </w:t>
      </w:r>
      <w:r>
        <w:rPr>
          <w:rFonts w:ascii="Verdana" w:hAnsi="Verdana"/>
          <w:sz w:val="20"/>
          <w:szCs w:val="20"/>
        </w:rPr>
        <w:t xml:space="preserve">of </w:t>
      </w:r>
      <w:r w:rsidR="000A60BC">
        <w:rPr>
          <w:rFonts w:ascii="Verdana" w:hAnsi="Verdana"/>
          <w:sz w:val="20"/>
          <w:szCs w:val="20"/>
        </w:rPr>
        <w:t>April</w:t>
      </w:r>
      <w:r>
        <w:rPr>
          <w:rFonts w:ascii="Verdana" w:hAnsi="Verdana"/>
          <w:sz w:val="20"/>
          <w:szCs w:val="20"/>
        </w:rPr>
        <w:t xml:space="preserve"> 2016 and</w:t>
      </w:r>
      <w:r w:rsidR="006F20B9">
        <w:rPr>
          <w:rFonts w:ascii="Verdana" w:hAnsi="Verdana"/>
          <w:sz w:val="20"/>
          <w:szCs w:val="20"/>
        </w:rPr>
        <w:t xml:space="preserve"> </w:t>
      </w:r>
      <w:r w:rsidR="00B44087" w:rsidRPr="00C60415">
        <w:rPr>
          <w:rFonts w:ascii="Verdana" w:hAnsi="Verdana"/>
          <w:sz w:val="20"/>
          <w:szCs w:val="20"/>
        </w:rPr>
        <w:t>submitted its</w:t>
      </w:r>
      <w:r w:rsidR="000A60BC">
        <w:rPr>
          <w:rFonts w:ascii="Verdana" w:hAnsi="Verdana"/>
          <w:sz w:val="20"/>
          <w:szCs w:val="20"/>
        </w:rPr>
        <w:t xml:space="preserve"> first</w:t>
      </w:r>
      <w:r w:rsidR="00B44087" w:rsidRPr="00C60415">
        <w:rPr>
          <w:rFonts w:ascii="Verdana" w:hAnsi="Verdana"/>
          <w:sz w:val="20"/>
          <w:szCs w:val="20"/>
        </w:rPr>
        <w:t xml:space="preserve"> Nationally Determined Contribution</w:t>
      </w:r>
      <w:r w:rsidR="00872BDE">
        <w:rPr>
          <w:rFonts w:ascii="Verdana" w:hAnsi="Verdana"/>
          <w:sz w:val="20"/>
          <w:szCs w:val="20"/>
        </w:rPr>
        <w:t xml:space="preserve"> (NDC)</w:t>
      </w:r>
      <w:r w:rsidR="000A60BC">
        <w:rPr>
          <w:rFonts w:ascii="Verdana" w:hAnsi="Verdana"/>
          <w:sz w:val="20"/>
          <w:szCs w:val="20"/>
        </w:rPr>
        <w:t xml:space="preserve">. Although a small island state with negligible carbon emissions, Vanuatu has committed to the challenge of achieving close to 100% renewable energy in the electricity sector by 2030. </w:t>
      </w:r>
    </w:p>
    <w:p w14:paraId="0526FB67" w14:textId="77777777" w:rsidR="000A60BC" w:rsidRDefault="000A60BC" w:rsidP="00C60415">
      <w:pPr>
        <w:spacing w:after="0" w:line="240" w:lineRule="auto"/>
        <w:jc w:val="both"/>
        <w:rPr>
          <w:rFonts w:ascii="Verdana" w:hAnsi="Verdana"/>
          <w:sz w:val="20"/>
          <w:szCs w:val="20"/>
        </w:rPr>
      </w:pPr>
    </w:p>
    <w:p w14:paraId="5C85F9CD" w14:textId="0CC02385" w:rsidR="00B44087" w:rsidRDefault="00B44087" w:rsidP="00C60415">
      <w:pPr>
        <w:spacing w:after="0" w:line="240" w:lineRule="auto"/>
        <w:jc w:val="both"/>
        <w:rPr>
          <w:rFonts w:ascii="Verdana" w:hAnsi="Verdana"/>
          <w:sz w:val="20"/>
          <w:szCs w:val="20"/>
        </w:rPr>
      </w:pPr>
      <w:r w:rsidRPr="00C60415">
        <w:rPr>
          <w:rFonts w:ascii="Verdana" w:hAnsi="Verdana"/>
          <w:sz w:val="20"/>
          <w:szCs w:val="20"/>
        </w:rPr>
        <w:t xml:space="preserve"> </w:t>
      </w:r>
      <w:r w:rsidR="00330A03">
        <w:rPr>
          <w:rFonts w:ascii="Verdana" w:hAnsi="Verdana"/>
          <w:sz w:val="20"/>
          <w:szCs w:val="20"/>
        </w:rPr>
        <w:t xml:space="preserve">The NDC target and the National Energy Roadmap target of achieving 100% renewable energy in the electricity sector is consistent but very much conditional on appropriate financial and technical support from international development partners.  </w:t>
      </w:r>
    </w:p>
    <w:p w14:paraId="421F5BF0" w14:textId="4816EFFC" w:rsidR="00F0016E" w:rsidRDefault="00F0016E" w:rsidP="00C60415">
      <w:pPr>
        <w:spacing w:after="0" w:line="240" w:lineRule="auto"/>
        <w:jc w:val="both"/>
        <w:rPr>
          <w:rFonts w:ascii="Verdana" w:hAnsi="Verdana"/>
          <w:sz w:val="20"/>
          <w:szCs w:val="20"/>
        </w:rPr>
      </w:pPr>
    </w:p>
    <w:p w14:paraId="330182AB" w14:textId="12D77616" w:rsidR="00F0016E" w:rsidRPr="00C60415" w:rsidRDefault="00F0016E" w:rsidP="00C60415">
      <w:pPr>
        <w:spacing w:after="0" w:line="240" w:lineRule="auto"/>
        <w:jc w:val="both"/>
        <w:rPr>
          <w:rFonts w:ascii="Verdana" w:hAnsi="Verdana"/>
          <w:sz w:val="20"/>
          <w:szCs w:val="20"/>
        </w:rPr>
      </w:pPr>
      <w:r>
        <w:rPr>
          <w:rFonts w:ascii="Verdana" w:hAnsi="Verdana"/>
          <w:sz w:val="20"/>
          <w:szCs w:val="20"/>
        </w:rPr>
        <w:t xml:space="preserve">While the Government has developed and launched in March 2019 its NDC Implementation Roadmap, there is also a need to develop specific Rural Electrification Implementation Roadmap which clearly defines the priority areas of electrification and the resources needed to achieve it.   </w:t>
      </w:r>
      <w:r w:rsidR="008574F3">
        <w:rPr>
          <w:rFonts w:ascii="Verdana" w:hAnsi="Verdana"/>
          <w:sz w:val="20"/>
          <w:szCs w:val="20"/>
        </w:rPr>
        <w:t xml:space="preserve">The PCREEE will assist DOE with the finalization of the Terms of Reference for the development of the Rural Electrification Master Plan. </w:t>
      </w:r>
    </w:p>
    <w:p w14:paraId="3679F0F5" w14:textId="23E0CBB0" w:rsidR="007950E4" w:rsidRPr="00C60415" w:rsidRDefault="007950E4" w:rsidP="00C60415">
      <w:pPr>
        <w:spacing w:after="0" w:line="240" w:lineRule="auto"/>
        <w:jc w:val="both"/>
        <w:rPr>
          <w:rFonts w:ascii="Verdana" w:hAnsi="Verdana" w:cs="Arial"/>
          <w:color w:val="333333"/>
          <w:sz w:val="20"/>
          <w:szCs w:val="20"/>
          <w:lang w:val="en"/>
        </w:rPr>
      </w:pPr>
    </w:p>
    <w:p w14:paraId="7F108D67" w14:textId="0144412E" w:rsidR="002F3D3B" w:rsidRPr="00C60415" w:rsidRDefault="002F3D3B"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Overview</w:t>
      </w:r>
    </w:p>
    <w:p w14:paraId="32851FE8" w14:textId="11345AD2" w:rsidR="00804231" w:rsidRPr="00C60415" w:rsidRDefault="00804231" w:rsidP="00C60415">
      <w:pPr>
        <w:spacing w:after="0" w:line="240" w:lineRule="auto"/>
        <w:jc w:val="both"/>
        <w:rPr>
          <w:rFonts w:ascii="Verdana" w:hAnsi="Verdana"/>
          <w:b/>
          <w:sz w:val="20"/>
          <w:szCs w:val="20"/>
        </w:rPr>
      </w:pPr>
    </w:p>
    <w:p w14:paraId="5DC924C1" w14:textId="6ED9E0E9" w:rsidR="00D16151" w:rsidRDefault="00D16151" w:rsidP="00C60415">
      <w:pPr>
        <w:spacing w:after="0" w:line="240" w:lineRule="auto"/>
        <w:jc w:val="both"/>
        <w:rPr>
          <w:rFonts w:ascii="Verdana" w:hAnsi="Verdana"/>
          <w:sz w:val="20"/>
          <w:szCs w:val="20"/>
        </w:rPr>
      </w:pPr>
    </w:p>
    <w:p w14:paraId="11778EC7" w14:textId="77777777" w:rsidR="00AE36B7" w:rsidRDefault="00AE36B7" w:rsidP="00C60415">
      <w:pPr>
        <w:spacing w:after="0" w:line="240" w:lineRule="auto"/>
        <w:jc w:val="both"/>
        <w:rPr>
          <w:rFonts w:ascii="Verdana" w:hAnsi="Verdana"/>
          <w:sz w:val="20"/>
          <w:szCs w:val="20"/>
        </w:rPr>
      </w:pPr>
      <w:r>
        <w:rPr>
          <w:rFonts w:ascii="Verdana" w:hAnsi="Verdana"/>
          <w:sz w:val="20"/>
          <w:szCs w:val="20"/>
        </w:rPr>
        <w:t>The Electricity sector in Vanuatu has shown a steady increase over the last 5 years both in terms of generation capacity an installed capacity. The overall installed capacity has increase from 31.42MW in 2012 to 31.77MW in 2017 and similarly a total of 69GWh of electricity generated in 2012 to 77.14GWh in 2017. This represents an annual growth of 2.3% per annum.</w:t>
      </w:r>
    </w:p>
    <w:p w14:paraId="1166B2E8" w14:textId="77777777" w:rsidR="00AE36B7" w:rsidRDefault="00AE36B7" w:rsidP="00C60415">
      <w:pPr>
        <w:spacing w:after="0" w:line="240" w:lineRule="auto"/>
        <w:jc w:val="both"/>
        <w:rPr>
          <w:rFonts w:ascii="Verdana" w:hAnsi="Verdana"/>
          <w:sz w:val="20"/>
          <w:szCs w:val="20"/>
        </w:rPr>
      </w:pPr>
    </w:p>
    <w:p w14:paraId="0C96978A" w14:textId="122026F9" w:rsidR="00330A03" w:rsidRDefault="00EC7434" w:rsidP="00C60415">
      <w:pPr>
        <w:spacing w:after="0" w:line="240" w:lineRule="auto"/>
        <w:jc w:val="both"/>
        <w:rPr>
          <w:rFonts w:ascii="Verdana" w:hAnsi="Verdana"/>
          <w:sz w:val="20"/>
          <w:szCs w:val="20"/>
        </w:rPr>
      </w:pPr>
      <w:r>
        <w:rPr>
          <w:rFonts w:ascii="Verdana" w:hAnsi="Verdana"/>
          <w:sz w:val="20"/>
          <w:szCs w:val="20"/>
        </w:rPr>
        <w:t>The overall generation mix comprised mainly of thermal, wind, hydro and solar. There has been fluctuati</w:t>
      </w:r>
      <w:r w:rsidR="0001063E">
        <w:rPr>
          <w:rFonts w:ascii="Verdana" w:hAnsi="Verdana"/>
          <w:sz w:val="20"/>
          <w:szCs w:val="20"/>
        </w:rPr>
        <w:t>on</w:t>
      </w:r>
      <w:r>
        <w:rPr>
          <w:rFonts w:ascii="Verdana" w:hAnsi="Verdana"/>
          <w:sz w:val="20"/>
          <w:szCs w:val="20"/>
        </w:rPr>
        <w:t xml:space="preserve"> over the years with regards to the share of renewable energy but on average </w:t>
      </w:r>
      <w:r w:rsidR="0001063E">
        <w:rPr>
          <w:rFonts w:ascii="Verdana" w:hAnsi="Verdana"/>
          <w:sz w:val="20"/>
          <w:szCs w:val="20"/>
        </w:rPr>
        <w:t xml:space="preserve">RE </w:t>
      </w:r>
      <w:r>
        <w:rPr>
          <w:rFonts w:ascii="Verdana" w:hAnsi="Verdana"/>
          <w:sz w:val="20"/>
          <w:szCs w:val="20"/>
        </w:rPr>
        <w:t>sits around 20%</w:t>
      </w:r>
      <w:r w:rsidR="0001063E">
        <w:rPr>
          <w:rFonts w:ascii="Verdana" w:hAnsi="Verdana"/>
          <w:sz w:val="20"/>
          <w:szCs w:val="20"/>
        </w:rPr>
        <w:t xml:space="preserve"> of the total contribution – 10% hydropower, 7% wind contribution and 3% solar generation</w:t>
      </w:r>
      <w:r>
        <w:rPr>
          <w:rFonts w:ascii="Verdana" w:hAnsi="Verdana"/>
          <w:sz w:val="20"/>
          <w:szCs w:val="20"/>
        </w:rPr>
        <w:t xml:space="preserve">. </w:t>
      </w:r>
      <w:r w:rsidR="0001063E">
        <w:rPr>
          <w:rFonts w:ascii="Verdana" w:hAnsi="Verdana"/>
          <w:sz w:val="20"/>
          <w:szCs w:val="20"/>
        </w:rPr>
        <w:t xml:space="preserve">The base load still remains to be thermal comprising roughly 80% of the total share. </w:t>
      </w:r>
    </w:p>
    <w:p w14:paraId="752D6E83" w14:textId="706EA0DB" w:rsidR="00330A03" w:rsidRDefault="00330A03" w:rsidP="00C60415">
      <w:pPr>
        <w:spacing w:after="0" w:line="240" w:lineRule="auto"/>
        <w:jc w:val="both"/>
        <w:rPr>
          <w:rFonts w:ascii="Verdana" w:hAnsi="Verdana"/>
          <w:sz w:val="20"/>
          <w:szCs w:val="20"/>
        </w:rPr>
      </w:pPr>
    </w:p>
    <w:p w14:paraId="5F1DF774" w14:textId="44E2EF59" w:rsidR="009D301D" w:rsidRDefault="009D301D" w:rsidP="00C60415">
      <w:pPr>
        <w:spacing w:after="0" w:line="240" w:lineRule="auto"/>
        <w:jc w:val="both"/>
        <w:rPr>
          <w:rFonts w:ascii="Verdana" w:hAnsi="Verdana"/>
          <w:sz w:val="20"/>
          <w:szCs w:val="20"/>
        </w:rPr>
      </w:pPr>
      <w:r>
        <w:rPr>
          <w:rFonts w:ascii="Verdana" w:hAnsi="Verdana"/>
          <w:sz w:val="20"/>
          <w:szCs w:val="20"/>
        </w:rPr>
        <w:t xml:space="preserve">With a few RE projects in the pipeline like the Brenwei hydropower (400kW), the Sarakata hydropower extension project (600kW), the VREP Minigrids to name a few, the capacity of RE in Vanuatu will continue to grow reducing the gap to achieve 100% RE by 2030. </w:t>
      </w:r>
    </w:p>
    <w:p w14:paraId="674A85B5" w14:textId="77777777" w:rsidR="009D301D" w:rsidRDefault="009D301D" w:rsidP="00C60415">
      <w:pPr>
        <w:spacing w:after="0" w:line="240" w:lineRule="auto"/>
        <w:jc w:val="both"/>
        <w:rPr>
          <w:rFonts w:ascii="Verdana" w:hAnsi="Verdana"/>
          <w:sz w:val="20"/>
          <w:szCs w:val="20"/>
        </w:rPr>
      </w:pPr>
    </w:p>
    <w:p w14:paraId="692C4B51" w14:textId="3A41D1E4" w:rsidR="00330A03" w:rsidRDefault="0001063E" w:rsidP="00C60415">
      <w:pPr>
        <w:spacing w:after="0" w:line="240" w:lineRule="auto"/>
        <w:jc w:val="both"/>
        <w:rPr>
          <w:rFonts w:ascii="Verdana" w:hAnsi="Verdana"/>
          <w:sz w:val="20"/>
          <w:szCs w:val="20"/>
        </w:rPr>
      </w:pPr>
      <w:r>
        <w:rPr>
          <w:rFonts w:ascii="Verdana" w:hAnsi="Verdana"/>
          <w:sz w:val="20"/>
          <w:szCs w:val="20"/>
        </w:rPr>
        <w:t xml:space="preserve">The overall peak demand in Vanuatu has been steadily increasing as well with a peak demand of 13.13MW in </w:t>
      </w:r>
      <w:r w:rsidR="003C7770">
        <w:rPr>
          <w:rFonts w:ascii="Verdana" w:hAnsi="Verdana"/>
          <w:sz w:val="20"/>
          <w:szCs w:val="20"/>
        </w:rPr>
        <w:t>2012 to</w:t>
      </w:r>
      <w:r>
        <w:rPr>
          <w:rFonts w:ascii="Verdana" w:hAnsi="Verdana"/>
          <w:sz w:val="20"/>
          <w:szCs w:val="20"/>
        </w:rPr>
        <w:t xml:space="preserve"> 14.15MW in 2017. </w:t>
      </w:r>
      <w:r w:rsidR="003C7770">
        <w:rPr>
          <w:rFonts w:ascii="Verdana" w:hAnsi="Verdana"/>
          <w:sz w:val="20"/>
          <w:szCs w:val="20"/>
        </w:rPr>
        <w:t xml:space="preserve">Similarly, the electricity users continue to grow exponentially comprising mainly of residentially users, a reflection of some major projects supporting grid extensions and subsidy for customer connections. </w:t>
      </w:r>
    </w:p>
    <w:p w14:paraId="368FAB20" w14:textId="7ED5148C" w:rsidR="003C7770" w:rsidRDefault="003C7770" w:rsidP="00C60415">
      <w:pPr>
        <w:spacing w:after="0" w:line="240" w:lineRule="auto"/>
        <w:jc w:val="both"/>
        <w:rPr>
          <w:rFonts w:ascii="Verdana" w:hAnsi="Verdana"/>
          <w:sz w:val="20"/>
          <w:szCs w:val="20"/>
        </w:rPr>
      </w:pPr>
    </w:p>
    <w:p w14:paraId="4F824834" w14:textId="1316E57D" w:rsidR="009D301D" w:rsidRDefault="009D301D" w:rsidP="00C60415">
      <w:pPr>
        <w:spacing w:after="0" w:line="240" w:lineRule="auto"/>
        <w:jc w:val="both"/>
        <w:rPr>
          <w:rFonts w:ascii="Verdana" w:hAnsi="Verdana"/>
          <w:sz w:val="20"/>
          <w:szCs w:val="20"/>
        </w:rPr>
      </w:pPr>
    </w:p>
    <w:p w14:paraId="18964C54" w14:textId="77777777" w:rsidR="00D16151" w:rsidRPr="00C60415" w:rsidRDefault="00D16151" w:rsidP="00C60415">
      <w:pPr>
        <w:spacing w:after="0" w:line="240" w:lineRule="auto"/>
        <w:jc w:val="both"/>
        <w:rPr>
          <w:rFonts w:ascii="Verdana" w:hAnsi="Verdana"/>
          <w:b/>
          <w:sz w:val="20"/>
          <w:szCs w:val="20"/>
        </w:rPr>
      </w:pPr>
    </w:p>
    <w:p w14:paraId="63B2E56B" w14:textId="532B57C0" w:rsidR="002F3D3B" w:rsidRPr="00C60415" w:rsidRDefault="002F3D3B"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Objective</w:t>
      </w:r>
    </w:p>
    <w:p w14:paraId="065A9068" w14:textId="77777777" w:rsidR="00C71B4A" w:rsidRPr="00C60415" w:rsidRDefault="00C71B4A" w:rsidP="00C60415">
      <w:pPr>
        <w:jc w:val="both"/>
        <w:rPr>
          <w:rFonts w:ascii="Verdana" w:hAnsi="Verdana"/>
          <w:sz w:val="20"/>
          <w:szCs w:val="20"/>
        </w:rPr>
      </w:pPr>
      <w:bookmarkStart w:id="0" w:name="_Hlk14082388"/>
      <w:r w:rsidRPr="00C60415">
        <w:rPr>
          <w:rFonts w:ascii="Verdana" w:hAnsi="Verdana"/>
          <w:sz w:val="20"/>
          <w:szCs w:val="20"/>
        </w:rPr>
        <w:t>The objectives of the dialogue are to:</w:t>
      </w:r>
    </w:p>
    <w:p w14:paraId="38232A30" w14:textId="46B3E284" w:rsidR="00847800" w:rsidRPr="00C60415" w:rsidRDefault="00D31E8C"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 xml:space="preserve">To </w:t>
      </w:r>
      <w:r w:rsidR="00DF1510" w:rsidRPr="00C60415">
        <w:rPr>
          <w:rFonts w:ascii="Verdana" w:hAnsi="Verdana"/>
          <w:sz w:val="20"/>
          <w:szCs w:val="20"/>
        </w:rPr>
        <w:t xml:space="preserve">discuss the current status of </w:t>
      </w:r>
      <w:r w:rsidR="009D301D">
        <w:rPr>
          <w:rFonts w:ascii="Verdana" w:hAnsi="Verdana"/>
          <w:sz w:val="20"/>
          <w:szCs w:val="20"/>
        </w:rPr>
        <w:t>Vanuatu’s</w:t>
      </w:r>
      <w:r w:rsidR="00DF1510" w:rsidRPr="00C60415">
        <w:rPr>
          <w:rFonts w:ascii="Verdana" w:hAnsi="Verdana"/>
          <w:sz w:val="20"/>
          <w:szCs w:val="20"/>
        </w:rPr>
        <w:t xml:space="preserve"> energy roadmap and </w:t>
      </w:r>
      <w:r w:rsidR="00FF4C0B" w:rsidRPr="00C60415">
        <w:rPr>
          <w:rFonts w:ascii="Verdana" w:hAnsi="Verdana"/>
          <w:sz w:val="20"/>
          <w:szCs w:val="20"/>
        </w:rPr>
        <w:t xml:space="preserve">GHG mitigation </w:t>
      </w:r>
      <w:r w:rsidR="00DF1510" w:rsidRPr="00C60415">
        <w:rPr>
          <w:rFonts w:ascii="Verdana" w:hAnsi="Verdana"/>
          <w:sz w:val="20"/>
          <w:szCs w:val="20"/>
        </w:rPr>
        <w:t xml:space="preserve">targets </w:t>
      </w:r>
    </w:p>
    <w:p w14:paraId="1A8D2375" w14:textId="14CCCC11" w:rsidR="003830A3" w:rsidRPr="00C60415" w:rsidRDefault="00DF1510"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To identify business</w:t>
      </w:r>
      <w:r w:rsidR="005212E8" w:rsidRPr="00C60415">
        <w:rPr>
          <w:rFonts w:ascii="Verdana" w:hAnsi="Verdana"/>
          <w:sz w:val="20"/>
          <w:szCs w:val="20"/>
        </w:rPr>
        <w:t xml:space="preserve">, </w:t>
      </w:r>
      <w:r w:rsidR="00C71B4A" w:rsidRPr="00C60415">
        <w:rPr>
          <w:rFonts w:ascii="Verdana" w:hAnsi="Verdana"/>
          <w:sz w:val="20"/>
          <w:szCs w:val="20"/>
        </w:rPr>
        <w:t xml:space="preserve">employment </w:t>
      </w:r>
      <w:r w:rsidR="005212E8" w:rsidRPr="00C60415">
        <w:rPr>
          <w:rFonts w:ascii="Verdana" w:hAnsi="Verdana"/>
          <w:sz w:val="20"/>
          <w:szCs w:val="20"/>
        </w:rPr>
        <w:t xml:space="preserve">and other co-benefits </w:t>
      </w:r>
      <w:r w:rsidR="000275B8" w:rsidRPr="00C60415">
        <w:rPr>
          <w:rFonts w:ascii="Verdana" w:hAnsi="Verdana"/>
          <w:sz w:val="20"/>
          <w:szCs w:val="20"/>
        </w:rPr>
        <w:t xml:space="preserve">arising from </w:t>
      </w:r>
      <w:r w:rsidR="005212E8" w:rsidRPr="00C60415">
        <w:rPr>
          <w:rFonts w:ascii="Verdana" w:hAnsi="Verdana"/>
          <w:sz w:val="20"/>
          <w:szCs w:val="20"/>
        </w:rPr>
        <w:t xml:space="preserve">pursuing </w:t>
      </w:r>
      <w:r w:rsidR="009D301D">
        <w:rPr>
          <w:rFonts w:ascii="Verdana" w:hAnsi="Verdana"/>
          <w:sz w:val="20"/>
          <w:szCs w:val="20"/>
        </w:rPr>
        <w:t>Vanuatu’s</w:t>
      </w:r>
      <w:r w:rsidR="000275B8" w:rsidRPr="00C60415">
        <w:rPr>
          <w:rFonts w:ascii="Verdana" w:hAnsi="Verdana"/>
          <w:sz w:val="20"/>
          <w:szCs w:val="20"/>
        </w:rPr>
        <w:t xml:space="preserve"> energy and GHG targets </w:t>
      </w:r>
    </w:p>
    <w:p w14:paraId="029569D5" w14:textId="611E78C3" w:rsidR="005212E8" w:rsidRPr="00C60415" w:rsidRDefault="005212E8"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lastRenderedPageBreak/>
        <w:t xml:space="preserve">To discuss and agree on key measures for accelerating progress on </w:t>
      </w:r>
      <w:r w:rsidR="009D301D">
        <w:rPr>
          <w:rFonts w:ascii="Verdana" w:hAnsi="Verdana"/>
          <w:sz w:val="20"/>
          <w:szCs w:val="20"/>
        </w:rPr>
        <w:t>Vanuatu’s</w:t>
      </w:r>
      <w:r w:rsidRPr="00C60415">
        <w:rPr>
          <w:rFonts w:ascii="Verdana" w:hAnsi="Verdana"/>
          <w:sz w:val="20"/>
          <w:szCs w:val="20"/>
        </w:rPr>
        <w:t xml:space="preserve"> energy and GHG targets and how they could be financed </w:t>
      </w:r>
    </w:p>
    <w:p w14:paraId="2A36DB7F" w14:textId="7178F46E" w:rsidR="00FF4C0B" w:rsidRDefault="00C71B4A"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To dis</w:t>
      </w:r>
      <w:r w:rsidR="000275B8" w:rsidRPr="00C60415">
        <w:rPr>
          <w:rFonts w:ascii="Verdana" w:hAnsi="Verdana"/>
          <w:sz w:val="20"/>
          <w:szCs w:val="20"/>
        </w:rPr>
        <w:t>c</w:t>
      </w:r>
      <w:r w:rsidRPr="00C60415">
        <w:rPr>
          <w:rFonts w:ascii="Verdana" w:hAnsi="Verdana"/>
          <w:sz w:val="20"/>
          <w:szCs w:val="20"/>
        </w:rPr>
        <w:t xml:space="preserve">uss and agree on </w:t>
      </w:r>
      <w:r w:rsidR="000275B8" w:rsidRPr="00C60415">
        <w:rPr>
          <w:rFonts w:ascii="Verdana" w:hAnsi="Verdana"/>
          <w:sz w:val="20"/>
          <w:szCs w:val="20"/>
        </w:rPr>
        <w:t xml:space="preserve">a </w:t>
      </w:r>
      <w:r w:rsidRPr="00C60415">
        <w:rPr>
          <w:rFonts w:ascii="Verdana" w:hAnsi="Verdana"/>
          <w:sz w:val="20"/>
          <w:szCs w:val="20"/>
        </w:rPr>
        <w:t>whole-of-country</w:t>
      </w:r>
      <w:r w:rsidR="000275B8" w:rsidRPr="00C60415">
        <w:rPr>
          <w:rFonts w:ascii="Verdana" w:hAnsi="Verdana"/>
          <w:sz w:val="20"/>
          <w:szCs w:val="20"/>
        </w:rPr>
        <w:t xml:space="preserve"> approach to pursuing </w:t>
      </w:r>
      <w:r w:rsidR="009D301D">
        <w:rPr>
          <w:rFonts w:ascii="Verdana" w:hAnsi="Verdana"/>
          <w:sz w:val="20"/>
          <w:szCs w:val="20"/>
        </w:rPr>
        <w:t>Vanuatu’s</w:t>
      </w:r>
      <w:r w:rsidR="000275B8" w:rsidRPr="00C60415">
        <w:rPr>
          <w:rFonts w:ascii="Verdana" w:hAnsi="Verdana"/>
          <w:sz w:val="20"/>
          <w:szCs w:val="20"/>
        </w:rPr>
        <w:t xml:space="preserve"> energy and </w:t>
      </w:r>
      <w:r w:rsidR="009210AF" w:rsidRPr="00C60415">
        <w:rPr>
          <w:rFonts w:ascii="Verdana" w:hAnsi="Verdana"/>
          <w:sz w:val="20"/>
          <w:szCs w:val="20"/>
        </w:rPr>
        <w:t xml:space="preserve">GHG </w:t>
      </w:r>
      <w:r w:rsidR="000275B8" w:rsidRPr="00C60415">
        <w:rPr>
          <w:rFonts w:ascii="Verdana" w:hAnsi="Verdana"/>
          <w:sz w:val="20"/>
          <w:szCs w:val="20"/>
        </w:rPr>
        <w:t>targets</w:t>
      </w:r>
    </w:p>
    <w:p w14:paraId="4C8C01F1" w14:textId="6789A1A2" w:rsidR="009D301D" w:rsidRDefault="009D301D" w:rsidP="00C60415">
      <w:pPr>
        <w:pStyle w:val="ListParagraph"/>
        <w:numPr>
          <w:ilvl w:val="0"/>
          <w:numId w:val="3"/>
        </w:numPr>
        <w:ind w:left="851" w:hanging="284"/>
        <w:jc w:val="both"/>
        <w:rPr>
          <w:rFonts w:ascii="Verdana" w:hAnsi="Verdana"/>
          <w:sz w:val="20"/>
          <w:szCs w:val="20"/>
        </w:rPr>
      </w:pPr>
      <w:r>
        <w:rPr>
          <w:rFonts w:ascii="Verdana" w:hAnsi="Verdana"/>
          <w:sz w:val="20"/>
          <w:szCs w:val="20"/>
        </w:rPr>
        <w:t>To formulate a Sustainable Energy Consortium for Vanuatu</w:t>
      </w:r>
    </w:p>
    <w:p w14:paraId="260AA2B7" w14:textId="7DB02C55" w:rsidR="001A22C1" w:rsidRPr="00C60415" w:rsidRDefault="001A22C1" w:rsidP="00C60415">
      <w:pPr>
        <w:pStyle w:val="ListParagraph"/>
        <w:numPr>
          <w:ilvl w:val="0"/>
          <w:numId w:val="3"/>
        </w:numPr>
        <w:ind w:left="851" w:hanging="284"/>
        <w:jc w:val="both"/>
        <w:rPr>
          <w:rFonts w:ascii="Verdana" w:hAnsi="Verdana"/>
          <w:sz w:val="20"/>
          <w:szCs w:val="20"/>
        </w:rPr>
      </w:pPr>
      <w:bookmarkStart w:id="1" w:name="_Hlk15979120"/>
      <w:r>
        <w:rPr>
          <w:rFonts w:ascii="Verdana" w:hAnsi="Verdana"/>
          <w:sz w:val="20"/>
          <w:szCs w:val="20"/>
        </w:rPr>
        <w:t xml:space="preserve">To </w:t>
      </w:r>
      <w:r w:rsidR="00DF3C50">
        <w:rPr>
          <w:rFonts w:ascii="Verdana" w:hAnsi="Verdana"/>
          <w:sz w:val="20"/>
          <w:szCs w:val="20"/>
        </w:rPr>
        <w:t xml:space="preserve">reaffirm </w:t>
      </w:r>
      <w:r>
        <w:rPr>
          <w:rFonts w:ascii="Verdana" w:hAnsi="Verdana"/>
          <w:sz w:val="20"/>
          <w:szCs w:val="20"/>
        </w:rPr>
        <w:t xml:space="preserve">Vanuatu’s support and commitment to work with SPC-PCREEE on new project initiatives </w:t>
      </w:r>
    </w:p>
    <w:bookmarkEnd w:id="1"/>
    <w:p w14:paraId="16BA6670" w14:textId="531C88AE" w:rsidR="00C71B4A" w:rsidRPr="00C60415" w:rsidRDefault="00C71B4A" w:rsidP="00C60415">
      <w:pPr>
        <w:pStyle w:val="ListParagraph"/>
        <w:ind w:left="851"/>
        <w:jc w:val="both"/>
        <w:rPr>
          <w:rFonts w:ascii="Verdana" w:hAnsi="Verdana"/>
          <w:sz w:val="20"/>
          <w:szCs w:val="20"/>
        </w:rPr>
      </w:pPr>
    </w:p>
    <w:bookmarkEnd w:id="0"/>
    <w:p w14:paraId="33752096" w14:textId="299A38A1" w:rsidR="002F3D3B" w:rsidRPr="00C60415" w:rsidRDefault="002F3D3B"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Expected Outcomes</w:t>
      </w:r>
    </w:p>
    <w:p w14:paraId="73D94A41" w14:textId="77777777" w:rsidR="00480C3C" w:rsidRPr="00C60415" w:rsidRDefault="00480C3C" w:rsidP="00C60415">
      <w:pPr>
        <w:pStyle w:val="ListParagraph"/>
        <w:jc w:val="both"/>
        <w:rPr>
          <w:rFonts w:ascii="Verdana" w:hAnsi="Verdana"/>
          <w:b/>
          <w:sz w:val="20"/>
          <w:szCs w:val="20"/>
        </w:rPr>
      </w:pPr>
    </w:p>
    <w:p w14:paraId="515791C3" w14:textId="6E5ED5A2" w:rsidR="00D65516" w:rsidRPr="00C60415" w:rsidRDefault="00F23FEA"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government’s awareness </w:t>
      </w:r>
      <w:r w:rsidR="00D65516" w:rsidRPr="00C60415">
        <w:rPr>
          <w:rFonts w:ascii="Verdana" w:hAnsi="Verdana"/>
          <w:sz w:val="20"/>
          <w:szCs w:val="20"/>
        </w:rPr>
        <w:t xml:space="preserve">about the </w:t>
      </w:r>
      <w:r w:rsidRPr="00C60415">
        <w:rPr>
          <w:rFonts w:ascii="Verdana" w:hAnsi="Verdana"/>
          <w:sz w:val="20"/>
          <w:szCs w:val="20"/>
        </w:rPr>
        <w:t xml:space="preserve">progress with the </w:t>
      </w:r>
      <w:r w:rsidR="00FF4C0B" w:rsidRPr="00C60415">
        <w:rPr>
          <w:rFonts w:ascii="Verdana" w:hAnsi="Verdana"/>
          <w:sz w:val="20"/>
          <w:szCs w:val="20"/>
        </w:rPr>
        <w:t>energy and GHG t</w:t>
      </w:r>
      <w:r w:rsidRPr="00C60415">
        <w:rPr>
          <w:rFonts w:ascii="Verdana" w:hAnsi="Verdana"/>
          <w:sz w:val="20"/>
          <w:szCs w:val="20"/>
        </w:rPr>
        <w:t>argets</w:t>
      </w:r>
      <w:r w:rsidR="002575F9" w:rsidRPr="00C60415">
        <w:rPr>
          <w:rFonts w:ascii="Verdana" w:hAnsi="Verdana"/>
          <w:sz w:val="20"/>
          <w:szCs w:val="20"/>
        </w:rPr>
        <w:t xml:space="preserve"> and their feasibility is improved </w:t>
      </w:r>
    </w:p>
    <w:p w14:paraId="78D80750" w14:textId="2C60C5D1" w:rsidR="00FF4C0B" w:rsidRPr="00C60415" w:rsidRDefault="00C35CF9"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business, employment and other co-benefits of </w:t>
      </w:r>
      <w:r w:rsidR="00FF4C0B" w:rsidRPr="00C60415">
        <w:rPr>
          <w:rFonts w:ascii="Verdana" w:hAnsi="Verdana"/>
          <w:sz w:val="20"/>
          <w:szCs w:val="20"/>
        </w:rPr>
        <w:t xml:space="preserve">pursuing </w:t>
      </w:r>
      <w:r w:rsidR="009D301D">
        <w:rPr>
          <w:rFonts w:ascii="Verdana" w:hAnsi="Verdana"/>
          <w:sz w:val="20"/>
          <w:szCs w:val="20"/>
        </w:rPr>
        <w:t>Vanuatu’s</w:t>
      </w:r>
      <w:r w:rsidR="00FF4C0B" w:rsidRPr="00C60415">
        <w:rPr>
          <w:rFonts w:ascii="Verdana" w:hAnsi="Verdana"/>
          <w:sz w:val="20"/>
          <w:szCs w:val="20"/>
        </w:rPr>
        <w:t xml:space="preserve"> energy and GHG targets </w:t>
      </w:r>
      <w:r w:rsidRPr="00C60415">
        <w:rPr>
          <w:rFonts w:ascii="Verdana" w:hAnsi="Verdana"/>
          <w:sz w:val="20"/>
          <w:szCs w:val="20"/>
        </w:rPr>
        <w:t>are identified</w:t>
      </w:r>
      <w:r w:rsidR="00FF4C0B" w:rsidRPr="00C60415">
        <w:rPr>
          <w:rFonts w:ascii="Verdana" w:hAnsi="Verdana"/>
          <w:sz w:val="20"/>
          <w:szCs w:val="20"/>
        </w:rPr>
        <w:t xml:space="preserve"> for future mentoring</w:t>
      </w:r>
    </w:p>
    <w:p w14:paraId="18289D28" w14:textId="607F9BB1" w:rsidR="00FF4C0B" w:rsidRPr="00C60415" w:rsidRDefault="00FF4C0B"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a roadmap for accelerating and financing </w:t>
      </w:r>
      <w:r w:rsidR="009D301D">
        <w:rPr>
          <w:rFonts w:ascii="Verdana" w:hAnsi="Verdana"/>
          <w:sz w:val="20"/>
          <w:szCs w:val="20"/>
        </w:rPr>
        <w:t>Vanuatu’s</w:t>
      </w:r>
      <w:r w:rsidRPr="00C60415">
        <w:rPr>
          <w:rFonts w:ascii="Verdana" w:hAnsi="Verdana"/>
          <w:sz w:val="20"/>
          <w:szCs w:val="20"/>
        </w:rPr>
        <w:t xml:space="preserve"> energy and GHG targets is drafted and agreed upon </w:t>
      </w:r>
    </w:p>
    <w:p w14:paraId="1E514109" w14:textId="08BF25D4" w:rsidR="00FF4C0B" w:rsidRDefault="00FF4C0B"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stakeholders’ role in pursuing </w:t>
      </w:r>
      <w:r w:rsidR="009D301D">
        <w:rPr>
          <w:rFonts w:ascii="Verdana" w:hAnsi="Verdana"/>
          <w:sz w:val="20"/>
          <w:szCs w:val="20"/>
        </w:rPr>
        <w:t>Vanuatu’s</w:t>
      </w:r>
      <w:r w:rsidRPr="00C60415">
        <w:rPr>
          <w:rFonts w:ascii="Verdana" w:hAnsi="Verdana"/>
          <w:sz w:val="20"/>
          <w:szCs w:val="20"/>
        </w:rPr>
        <w:t xml:space="preserve"> energy and GHG targets are identified and agreed upon</w:t>
      </w:r>
    </w:p>
    <w:p w14:paraId="281ADACF" w14:textId="25D48BC1" w:rsidR="00977B2C" w:rsidRDefault="00977B2C" w:rsidP="00C60415">
      <w:pPr>
        <w:pStyle w:val="ListParagraph"/>
        <w:numPr>
          <w:ilvl w:val="0"/>
          <w:numId w:val="2"/>
        </w:numPr>
        <w:ind w:left="851" w:hanging="284"/>
        <w:jc w:val="both"/>
        <w:rPr>
          <w:rFonts w:ascii="Verdana" w:hAnsi="Verdana"/>
          <w:sz w:val="20"/>
          <w:szCs w:val="20"/>
        </w:rPr>
      </w:pPr>
      <w:r>
        <w:rPr>
          <w:rFonts w:ascii="Verdana" w:hAnsi="Verdana"/>
          <w:sz w:val="20"/>
          <w:szCs w:val="20"/>
        </w:rPr>
        <w:t xml:space="preserve">A vibrant private sector involvement in Vanuatu’s Sustainable Energy Development </w:t>
      </w:r>
    </w:p>
    <w:p w14:paraId="1EF756A3" w14:textId="77777777" w:rsidR="002E7A0D" w:rsidRPr="00C60415" w:rsidRDefault="002E7A0D" w:rsidP="00C60415">
      <w:pPr>
        <w:pStyle w:val="ListParagraph"/>
        <w:ind w:left="1080"/>
        <w:jc w:val="both"/>
        <w:rPr>
          <w:rFonts w:ascii="Verdana" w:hAnsi="Verdana"/>
          <w:sz w:val="20"/>
          <w:szCs w:val="20"/>
        </w:rPr>
      </w:pPr>
    </w:p>
    <w:p w14:paraId="023F60C1" w14:textId="450B0D96" w:rsidR="00882029" w:rsidRPr="00C60415" w:rsidRDefault="002E7A0D" w:rsidP="00C60415">
      <w:pPr>
        <w:pStyle w:val="ListParagraph"/>
        <w:numPr>
          <w:ilvl w:val="0"/>
          <w:numId w:val="1"/>
        </w:numPr>
        <w:ind w:left="720" w:hanging="720"/>
        <w:jc w:val="both"/>
        <w:rPr>
          <w:rFonts w:ascii="Verdana" w:hAnsi="Verdana"/>
          <w:b/>
          <w:sz w:val="20"/>
          <w:szCs w:val="20"/>
        </w:rPr>
      </w:pPr>
      <w:r w:rsidRPr="00C60415">
        <w:rPr>
          <w:rFonts w:ascii="Verdana" w:hAnsi="Verdana"/>
          <w:b/>
          <w:sz w:val="20"/>
          <w:szCs w:val="20"/>
        </w:rPr>
        <w:t xml:space="preserve">Target Outputs </w:t>
      </w:r>
    </w:p>
    <w:p w14:paraId="3923F34D" w14:textId="77777777" w:rsidR="002E7A0D" w:rsidRPr="00C60415" w:rsidRDefault="002E7A0D" w:rsidP="00C60415">
      <w:pPr>
        <w:pStyle w:val="ListParagraph"/>
        <w:ind w:left="360"/>
        <w:jc w:val="both"/>
        <w:rPr>
          <w:rFonts w:ascii="Verdana" w:hAnsi="Verdana"/>
          <w:b/>
          <w:sz w:val="20"/>
          <w:szCs w:val="20"/>
        </w:rPr>
      </w:pPr>
    </w:p>
    <w:p w14:paraId="6112EC3D" w14:textId="2CA8CFE9" w:rsidR="002E7A0D" w:rsidRPr="00C60415" w:rsidRDefault="00E30136"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 xml:space="preserve">A national </w:t>
      </w:r>
      <w:r w:rsidR="00D27AB9" w:rsidRPr="00C60415">
        <w:rPr>
          <w:rFonts w:ascii="Verdana" w:hAnsi="Verdana"/>
          <w:sz w:val="20"/>
          <w:szCs w:val="20"/>
        </w:rPr>
        <w:t xml:space="preserve">energy and GHG mitigation dialogue </w:t>
      </w:r>
      <w:r w:rsidR="002E7A0D" w:rsidRPr="00C60415">
        <w:rPr>
          <w:rFonts w:ascii="Verdana" w:hAnsi="Verdana"/>
          <w:sz w:val="20"/>
          <w:szCs w:val="20"/>
        </w:rPr>
        <w:t>successfully delivered with associated training materials.</w:t>
      </w:r>
    </w:p>
    <w:p w14:paraId="4601B07F" w14:textId="48461FDD" w:rsidR="002E7A0D" w:rsidRPr="00C60415" w:rsidRDefault="00AB09CA"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A</w:t>
      </w:r>
      <w:r w:rsidR="00D9489F" w:rsidRPr="00C60415">
        <w:rPr>
          <w:rFonts w:ascii="Verdana" w:hAnsi="Verdana"/>
          <w:sz w:val="20"/>
          <w:szCs w:val="20"/>
        </w:rPr>
        <w:t>wareness</w:t>
      </w:r>
      <w:r w:rsidR="00E30136" w:rsidRPr="00C60415">
        <w:rPr>
          <w:rFonts w:ascii="Verdana" w:hAnsi="Verdana"/>
          <w:sz w:val="20"/>
          <w:szCs w:val="20"/>
        </w:rPr>
        <w:t xml:space="preserve"> about </w:t>
      </w:r>
      <w:r w:rsidR="006860D3" w:rsidRPr="00C60415">
        <w:rPr>
          <w:rFonts w:ascii="Verdana" w:hAnsi="Verdana"/>
          <w:sz w:val="20"/>
          <w:szCs w:val="20"/>
        </w:rPr>
        <w:t>the</w:t>
      </w:r>
      <w:r w:rsidR="00D9489F" w:rsidRPr="00C60415">
        <w:rPr>
          <w:rFonts w:ascii="Verdana" w:hAnsi="Verdana"/>
          <w:sz w:val="20"/>
          <w:szCs w:val="20"/>
        </w:rPr>
        <w:t xml:space="preserve"> </w:t>
      </w:r>
      <w:r w:rsidRPr="00C60415">
        <w:rPr>
          <w:rFonts w:ascii="Verdana" w:hAnsi="Verdana"/>
          <w:sz w:val="20"/>
          <w:szCs w:val="20"/>
        </w:rPr>
        <w:t xml:space="preserve">key developments in the energy sector of </w:t>
      </w:r>
      <w:r w:rsidR="00B87DD1">
        <w:rPr>
          <w:rFonts w:ascii="Verdana" w:hAnsi="Verdana"/>
          <w:sz w:val="20"/>
          <w:szCs w:val="20"/>
        </w:rPr>
        <w:t>Vanuatu</w:t>
      </w:r>
      <w:r w:rsidRPr="00C60415">
        <w:rPr>
          <w:rFonts w:ascii="Verdana" w:hAnsi="Verdana"/>
          <w:sz w:val="20"/>
          <w:szCs w:val="20"/>
        </w:rPr>
        <w:t xml:space="preserve">.  </w:t>
      </w:r>
    </w:p>
    <w:p w14:paraId="51669B1F" w14:textId="4F7E1141" w:rsidR="006860D3" w:rsidRPr="00C60415" w:rsidRDefault="003A1180"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S</w:t>
      </w:r>
      <w:r w:rsidR="00151DA7" w:rsidRPr="00C60415">
        <w:rPr>
          <w:rFonts w:ascii="Verdana" w:hAnsi="Verdana"/>
          <w:sz w:val="20"/>
          <w:szCs w:val="20"/>
        </w:rPr>
        <w:t xml:space="preserve">haring of experiences and business management practices </w:t>
      </w:r>
      <w:r w:rsidR="00014AA1" w:rsidRPr="00C60415">
        <w:rPr>
          <w:rFonts w:ascii="Verdana" w:hAnsi="Verdana"/>
          <w:sz w:val="20"/>
          <w:szCs w:val="20"/>
        </w:rPr>
        <w:t>on</w:t>
      </w:r>
      <w:r w:rsidR="00151DA7" w:rsidRPr="00C60415">
        <w:rPr>
          <w:rFonts w:ascii="Verdana" w:hAnsi="Verdana"/>
          <w:sz w:val="20"/>
          <w:szCs w:val="20"/>
        </w:rPr>
        <w:t xml:space="preserve"> the ground</w:t>
      </w:r>
      <w:r w:rsidR="006860D3" w:rsidRPr="00C60415">
        <w:rPr>
          <w:rFonts w:ascii="Verdana" w:hAnsi="Verdana"/>
          <w:sz w:val="20"/>
          <w:szCs w:val="20"/>
        </w:rPr>
        <w:t>.</w:t>
      </w:r>
    </w:p>
    <w:p w14:paraId="26E16225" w14:textId="74BC139B" w:rsidR="00D27AB9" w:rsidRDefault="003A1180"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P</w:t>
      </w:r>
      <w:r w:rsidR="00AB09CA" w:rsidRPr="00C60415">
        <w:rPr>
          <w:rFonts w:ascii="Verdana" w:hAnsi="Verdana"/>
          <w:sz w:val="20"/>
          <w:szCs w:val="20"/>
        </w:rPr>
        <w:t>a</w:t>
      </w:r>
      <w:r w:rsidR="00E30136" w:rsidRPr="00C60415">
        <w:rPr>
          <w:rFonts w:ascii="Verdana" w:hAnsi="Verdana"/>
          <w:sz w:val="20"/>
          <w:szCs w:val="20"/>
        </w:rPr>
        <w:t xml:space="preserve">rtnerships </w:t>
      </w:r>
      <w:r w:rsidR="00AB09CA" w:rsidRPr="00C60415">
        <w:rPr>
          <w:rFonts w:ascii="Verdana" w:hAnsi="Verdana"/>
          <w:sz w:val="20"/>
          <w:szCs w:val="20"/>
        </w:rPr>
        <w:t xml:space="preserve">within SPC and externally </w:t>
      </w:r>
      <w:r w:rsidR="00E30136" w:rsidRPr="00C60415">
        <w:rPr>
          <w:rFonts w:ascii="Verdana" w:hAnsi="Verdana"/>
          <w:sz w:val="20"/>
          <w:szCs w:val="20"/>
        </w:rPr>
        <w:t xml:space="preserve">in </w:t>
      </w:r>
      <w:r w:rsidRPr="00C60415">
        <w:rPr>
          <w:rFonts w:ascii="Verdana" w:hAnsi="Verdana"/>
          <w:sz w:val="20"/>
          <w:szCs w:val="20"/>
        </w:rPr>
        <w:t xml:space="preserve">advancing </w:t>
      </w:r>
      <w:r w:rsidR="00977B2C">
        <w:rPr>
          <w:rFonts w:ascii="Verdana" w:hAnsi="Verdana"/>
          <w:sz w:val="20"/>
          <w:szCs w:val="20"/>
        </w:rPr>
        <w:t>Vanuatu’s</w:t>
      </w:r>
      <w:r w:rsidRPr="00C60415">
        <w:rPr>
          <w:rFonts w:ascii="Verdana" w:hAnsi="Verdana"/>
          <w:sz w:val="20"/>
          <w:szCs w:val="20"/>
        </w:rPr>
        <w:t xml:space="preserve"> energy and GHG targets </w:t>
      </w:r>
      <w:r w:rsidR="00D27AB9" w:rsidRPr="00C60415">
        <w:rPr>
          <w:rFonts w:ascii="Verdana" w:hAnsi="Verdana"/>
          <w:sz w:val="20"/>
          <w:szCs w:val="20"/>
        </w:rPr>
        <w:t xml:space="preserve"> </w:t>
      </w:r>
    </w:p>
    <w:p w14:paraId="6E491E70" w14:textId="673EE66D" w:rsidR="00977B2C" w:rsidRPr="00C60415" w:rsidRDefault="00977B2C" w:rsidP="00C60415">
      <w:pPr>
        <w:pStyle w:val="ListParagraph"/>
        <w:numPr>
          <w:ilvl w:val="0"/>
          <w:numId w:val="4"/>
        </w:numPr>
        <w:ind w:left="851" w:hanging="284"/>
        <w:jc w:val="both"/>
        <w:rPr>
          <w:rFonts w:ascii="Verdana" w:hAnsi="Verdana"/>
          <w:sz w:val="20"/>
          <w:szCs w:val="20"/>
        </w:rPr>
      </w:pPr>
      <w:r>
        <w:rPr>
          <w:rFonts w:ascii="Verdana" w:hAnsi="Verdana"/>
          <w:sz w:val="20"/>
          <w:szCs w:val="20"/>
        </w:rPr>
        <w:t xml:space="preserve">A draft plan to formulate a Sustainable Energy Association for Vanuatu to support Vanuatu’s Sustainable Energy Sector development </w:t>
      </w:r>
    </w:p>
    <w:p w14:paraId="33399190" w14:textId="549D054E" w:rsidR="002E7A0D" w:rsidRPr="00C60415" w:rsidRDefault="002E7A0D" w:rsidP="00C60415">
      <w:pPr>
        <w:pStyle w:val="ListParagraph"/>
        <w:ind w:left="1080"/>
        <w:jc w:val="both"/>
        <w:rPr>
          <w:rFonts w:ascii="Verdana" w:hAnsi="Verdana"/>
          <w:sz w:val="20"/>
          <w:szCs w:val="20"/>
        </w:rPr>
      </w:pPr>
      <w:r w:rsidRPr="00C60415">
        <w:rPr>
          <w:rFonts w:ascii="Verdana" w:hAnsi="Verdana"/>
          <w:sz w:val="20"/>
          <w:szCs w:val="20"/>
        </w:rPr>
        <w:t xml:space="preserve"> </w:t>
      </w:r>
    </w:p>
    <w:p w14:paraId="1F3C6687" w14:textId="6A6C00F6" w:rsidR="002F3D3B" w:rsidRPr="00C60415" w:rsidRDefault="00700E35" w:rsidP="00C60415">
      <w:pPr>
        <w:pStyle w:val="ListParagraph"/>
        <w:numPr>
          <w:ilvl w:val="0"/>
          <w:numId w:val="1"/>
        </w:numPr>
        <w:ind w:left="720" w:hanging="720"/>
        <w:jc w:val="both"/>
        <w:rPr>
          <w:rFonts w:ascii="Verdana" w:hAnsi="Verdana"/>
          <w:b/>
          <w:sz w:val="20"/>
          <w:szCs w:val="20"/>
        </w:rPr>
      </w:pPr>
      <w:r w:rsidRPr="00C60415">
        <w:rPr>
          <w:rFonts w:ascii="Verdana" w:hAnsi="Verdana"/>
          <w:b/>
          <w:sz w:val="20"/>
          <w:szCs w:val="20"/>
        </w:rPr>
        <w:t>Workshop</w:t>
      </w:r>
      <w:r w:rsidR="002E7A0D" w:rsidRPr="00C60415">
        <w:rPr>
          <w:rFonts w:ascii="Verdana" w:hAnsi="Verdana"/>
          <w:b/>
          <w:sz w:val="20"/>
          <w:szCs w:val="20"/>
        </w:rPr>
        <w:t xml:space="preserve"> Strategy &amp; Content</w:t>
      </w:r>
    </w:p>
    <w:p w14:paraId="43D4546B" w14:textId="77777777" w:rsidR="002E7A0D" w:rsidRPr="00C60415" w:rsidRDefault="002E7A0D" w:rsidP="00C60415">
      <w:pPr>
        <w:pStyle w:val="ListParagraph"/>
        <w:ind w:left="360"/>
        <w:jc w:val="both"/>
        <w:rPr>
          <w:rFonts w:ascii="Verdana" w:hAnsi="Verdana"/>
          <w:sz w:val="20"/>
          <w:szCs w:val="20"/>
        </w:rPr>
      </w:pPr>
    </w:p>
    <w:p w14:paraId="1E0E5BAD" w14:textId="6D3CFB98" w:rsidR="00A26F4F" w:rsidRPr="00C60415" w:rsidRDefault="00A26F4F" w:rsidP="00C60415">
      <w:pPr>
        <w:pStyle w:val="ListParagraph"/>
        <w:ind w:left="360"/>
        <w:jc w:val="both"/>
        <w:rPr>
          <w:rFonts w:ascii="Verdana" w:hAnsi="Verdana"/>
          <w:sz w:val="20"/>
          <w:szCs w:val="20"/>
        </w:rPr>
      </w:pPr>
      <w:r w:rsidRPr="00C60415">
        <w:rPr>
          <w:rFonts w:ascii="Verdana" w:hAnsi="Verdana"/>
          <w:sz w:val="20"/>
          <w:szCs w:val="20"/>
        </w:rPr>
        <w:t xml:space="preserve">The </w:t>
      </w:r>
      <w:r w:rsidR="00D27AB9" w:rsidRPr="00C60415">
        <w:rPr>
          <w:rFonts w:ascii="Verdana" w:hAnsi="Verdana"/>
          <w:sz w:val="20"/>
          <w:szCs w:val="20"/>
        </w:rPr>
        <w:t xml:space="preserve">dialogue </w:t>
      </w:r>
      <w:r w:rsidRPr="00C60415">
        <w:rPr>
          <w:rFonts w:ascii="Verdana" w:hAnsi="Verdana"/>
          <w:sz w:val="20"/>
          <w:szCs w:val="20"/>
        </w:rPr>
        <w:t xml:space="preserve">will </w:t>
      </w:r>
      <w:r w:rsidR="00AB09CA" w:rsidRPr="00C60415">
        <w:rPr>
          <w:rFonts w:ascii="Verdana" w:hAnsi="Verdana"/>
          <w:sz w:val="20"/>
          <w:szCs w:val="20"/>
        </w:rPr>
        <w:t xml:space="preserve">be for </w:t>
      </w:r>
      <w:r w:rsidR="00DD316B">
        <w:rPr>
          <w:rFonts w:ascii="Verdana" w:hAnsi="Verdana"/>
          <w:sz w:val="20"/>
          <w:szCs w:val="20"/>
        </w:rPr>
        <w:t>5</w:t>
      </w:r>
      <w:r w:rsidR="00D27AB9" w:rsidRPr="00C60415">
        <w:rPr>
          <w:rFonts w:ascii="Verdana" w:hAnsi="Verdana"/>
          <w:sz w:val="20"/>
          <w:szCs w:val="20"/>
        </w:rPr>
        <w:t xml:space="preserve"> </w:t>
      </w:r>
      <w:r w:rsidRPr="00C60415">
        <w:rPr>
          <w:rFonts w:ascii="Verdana" w:hAnsi="Verdana"/>
          <w:sz w:val="20"/>
          <w:szCs w:val="20"/>
        </w:rPr>
        <w:t>day</w:t>
      </w:r>
      <w:r w:rsidR="00D27AB9" w:rsidRPr="00C60415">
        <w:rPr>
          <w:rFonts w:ascii="Verdana" w:hAnsi="Verdana"/>
          <w:sz w:val="20"/>
          <w:szCs w:val="20"/>
        </w:rPr>
        <w:t>s a</w:t>
      </w:r>
      <w:r w:rsidRPr="00C60415">
        <w:rPr>
          <w:rFonts w:ascii="Verdana" w:hAnsi="Verdana"/>
          <w:sz w:val="20"/>
          <w:szCs w:val="20"/>
        </w:rPr>
        <w:t>nd it shall cover the following key areas</w:t>
      </w:r>
      <w:r w:rsidR="00DA4F15" w:rsidRPr="00C60415">
        <w:rPr>
          <w:rFonts w:ascii="Verdana" w:hAnsi="Verdana"/>
          <w:sz w:val="20"/>
          <w:szCs w:val="20"/>
        </w:rPr>
        <w:t xml:space="preserve">: </w:t>
      </w:r>
    </w:p>
    <w:p w14:paraId="6BFC9CDA" w14:textId="77777777" w:rsidR="00D27AB9" w:rsidRPr="00C60415" w:rsidRDefault="00CD5381" w:rsidP="00C60415">
      <w:pPr>
        <w:pStyle w:val="ListParagraph"/>
        <w:ind w:left="360"/>
        <w:jc w:val="both"/>
        <w:rPr>
          <w:rFonts w:ascii="Verdana" w:hAnsi="Verdana"/>
          <w:sz w:val="20"/>
          <w:szCs w:val="20"/>
        </w:rPr>
      </w:pPr>
      <w:r w:rsidRPr="00C60415">
        <w:rPr>
          <w:rFonts w:ascii="Verdana" w:hAnsi="Verdana"/>
          <w:sz w:val="20"/>
          <w:szCs w:val="20"/>
        </w:rPr>
        <w:tab/>
      </w:r>
    </w:p>
    <w:p w14:paraId="6630350A" w14:textId="39A8E655" w:rsidR="00D73E16" w:rsidRPr="00C60415" w:rsidRDefault="00B05D62" w:rsidP="00C60415">
      <w:pPr>
        <w:pStyle w:val="ListParagraph"/>
        <w:ind w:left="851" w:hanging="284"/>
        <w:jc w:val="both"/>
        <w:rPr>
          <w:rFonts w:ascii="Verdana" w:hAnsi="Verdana"/>
          <w:b/>
          <w:sz w:val="20"/>
          <w:szCs w:val="20"/>
        </w:rPr>
      </w:pPr>
      <w:r w:rsidRPr="00C60415">
        <w:rPr>
          <w:rFonts w:ascii="Verdana" w:hAnsi="Verdana"/>
          <w:b/>
          <w:sz w:val="20"/>
          <w:szCs w:val="20"/>
        </w:rPr>
        <w:t xml:space="preserve">DAY 1: </w:t>
      </w:r>
      <w:r w:rsidR="00F525C8">
        <w:rPr>
          <w:rFonts w:ascii="Verdana" w:hAnsi="Verdana"/>
          <w:b/>
          <w:sz w:val="20"/>
          <w:szCs w:val="20"/>
        </w:rPr>
        <w:t>Setting the Scene. Drivers for Renewable Energy and Energy Efficiency in Vanuatu</w:t>
      </w:r>
    </w:p>
    <w:p w14:paraId="1DA14343" w14:textId="6274E085" w:rsidR="00CD5381" w:rsidRPr="00C60415" w:rsidRDefault="00CD5381" w:rsidP="00C60415">
      <w:pPr>
        <w:pStyle w:val="ListParagraph"/>
        <w:ind w:left="851" w:hanging="284"/>
        <w:jc w:val="both"/>
        <w:rPr>
          <w:rFonts w:ascii="Verdana" w:hAnsi="Verdana"/>
          <w:b/>
          <w:sz w:val="20"/>
          <w:szCs w:val="20"/>
        </w:rPr>
      </w:pPr>
    </w:p>
    <w:p w14:paraId="4FE158E8" w14:textId="2C8352F0" w:rsidR="00CD5381" w:rsidRPr="00C60415" w:rsidRDefault="00F525C8" w:rsidP="00C60415">
      <w:pPr>
        <w:pStyle w:val="ListParagraph"/>
        <w:ind w:left="567"/>
        <w:jc w:val="both"/>
        <w:rPr>
          <w:rFonts w:ascii="Verdana" w:hAnsi="Verdana"/>
          <w:sz w:val="20"/>
          <w:szCs w:val="20"/>
        </w:rPr>
      </w:pPr>
      <w:r>
        <w:rPr>
          <w:rFonts w:ascii="Verdana" w:hAnsi="Verdana"/>
          <w:sz w:val="20"/>
          <w:szCs w:val="20"/>
        </w:rPr>
        <w:t xml:space="preserve">Day 2 </w:t>
      </w:r>
      <w:r w:rsidR="00CD5381" w:rsidRPr="00C60415">
        <w:rPr>
          <w:rFonts w:ascii="Verdana" w:hAnsi="Verdana"/>
          <w:sz w:val="20"/>
          <w:szCs w:val="20"/>
        </w:rPr>
        <w:t>will</w:t>
      </w:r>
      <w:r w:rsidR="0009356F" w:rsidRPr="00C60415">
        <w:rPr>
          <w:rFonts w:ascii="Verdana" w:hAnsi="Verdana"/>
          <w:sz w:val="20"/>
          <w:szCs w:val="20"/>
        </w:rPr>
        <w:t xml:space="preserve"> </w:t>
      </w:r>
      <w:r w:rsidR="003F7826" w:rsidRPr="00C60415">
        <w:rPr>
          <w:rFonts w:ascii="Verdana" w:hAnsi="Verdana"/>
          <w:sz w:val="20"/>
          <w:szCs w:val="20"/>
        </w:rPr>
        <w:t xml:space="preserve">focus on </w:t>
      </w:r>
      <w:r w:rsidR="0009356F" w:rsidRPr="00C60415">
        <w:rPr>
          <w:rFonts w:ascii="Verdana" w:hAnsi="Verdana"/>
          <w:sz w:val="20"/>
          <w:szCs w:val="20"/>
        </w:rPr>
        <w:t>introduc</w:t>
      </w:r>
      <w:r w:rsidR="003F7826" w:rsidRPr="00C60415">
        <w:rPr>
          <w:rFonts w:ascii="Verdana" w:hAnsi="Verdana"/>
          <w:sz w:val="20"/>
          <w:szCs w:val="20"/>
        </w:rPr>
        <w:t xml:space="preserve">ing </w:t>
      </w:r>
      <w:r w:rsidR="00977B2C">
        <w:rPr>
          <w:rFonts w:ascii="Verdana" w:hAnsi="Verdana"/>
          <w:sz w:val="20"/>
          <w:szCs w:val="20"/>
        </w:rPr>
        <w:t>Vanuatu’s</w:t>
      </w:r>
      <w:r w:rsidR="0009356F" w:rsidRPr="00C60415">
        <w:rPr>
          <w:rFonts w:ascii="Verdana" w:hAnsi="Verdana"/>
          <w:sz w:val="20"/>
          <w:szCs w:val="20"/>
        </w:rPr>
        <w:t xml:space="preserve"> energy and GHG mitigation effort in the context of the global and regional developments relating to energy and GHG mitigation. Possible topics / sub-headings include:</w:t>
      </w:r>
    </w:p>
    <w:p w14:paraId="449C620D" w14:textId="77777777" w:rsidR="00D73E16" w:rsidRPr="00C60415" w:rsidRDefault="00D73E16" w:rsidP="00C60415">
      <w:pPr>
        <w:pStyle w:val="ListParagraph"/>
        <w:ind w:left="567"/>
        <w:jc w:val="both"/>
        <w:rPr>
          <w:rFonts w:ascii="Verdana" w:hAnsi="Verdana"/>
          <w:sz w:val="20"/>
          <w:szCs w:val="20"/>
        </w:rPr>
      </w:pPr>
    </w:p>
    <w:p w14:paraId="5868FC49" w14:textId="6CE0AD21" w:rsidR="003F7826" w:rsidRPr="00C60415" w:rsidRDefault="003F7826"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The Sustainable Development Goals – particularly SDG 7, 9 &amp; 13</w:t>
      </w:r>
    </w:p>
    <w:p w14:paraId="67B08609" w14:textId="6487B372" w:rsidR="00CD5381" w:rsidRPr="00C60415" w:rsidRDefault="00D012A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Understanding the latest developments in the Paris Agreement and the outcomes of COP 24.  </w:t>
      </w:r>
    </w:p>
    <w:p w14:paraId="31CE7254" w14:textId="2D031D60" w:rsidR="00CD5381" w:rsidRPr="00C60415" w:rsidRDefault="00D012A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lastRenderedPageBreak/>
        <w:t xml:space="preserve">Understanding the Paris Agreement’s “rule book”. </w:t>
      </w:r>
    </w:p>
    <w:p w14:paraId="5BF2203D" w14:textId="3499CFC6" w:rsidR="00CD5381" w:rsidRPr="00C60415" w:rsidRDefault="00D012A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Understanding the Financing Mechanisms for the Paris Agreement  </w:t>
      </w:r>
    </w:p>
    <w:p w14:paraId="7F3948ED" w14:textId="0325B18F" w:rsidR="00CD5381" w:rsidRPr="00C60415" w:rsidRDefault="00CD5381"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Introducing </w:t>
      </w:r>
      <w:r w:rsidR="00C2444A" w:rsidRPr="00C60415">
        <w:rPr>
          <w:rFonts w:ascii="Verdana" w:hAnsi="Verdana"/>
          <w:sz w:val="20"/>
          <w:szCs w:val="20"/>
        </w:rPr>
        <w:t>the</w:t>
      </w:r>
      <w:r w:rsidR="00C12934" w:rsidRPr="00C60415">
        <w:rPr>
          <w:rFonts w:ascii="Verdana" w:hAnsi="Verdana"/>
          <w:sz w:val="20"/>
          <w:szCs w:val="20"/>
        </w:rPr>
        <w:t xml:space="preserve"> Framework for Resilient Development in the Pacific: 2017 – </w:t>
      </w:r>
      <w:r w:rsidR="00EC3750" w:rsidRPr="00C60415">
        <w:rPr>
          <w:rFonts w:ascii="Verdana" w:hAnsi="Verdana"/>
          <w:sz w:val="20"/>
          <w:szCs w:val="20"/>
        </w:rPr>
        <w:t>2030 and</w:t>
      </w:r>
      <w:r w:rsidR="003F7826" w:rsidRPr="00C60415">
        <w:rPr>
          <w:rFonts w:ascii="Verdana" w:hAnsi="Verdana"/>
          <w:sz w:val="20"/>
          <w:szCs w:val="20"/>
        </w:rPr>
        <w:t xml:space="preserve"> its supporting mechanisms </w:t>
      </w:r>
    </w:p>
    <w:p w14:paraId="026C08A5" w14:textId="0EF452E7" w:rsidR="00777B28" w:rsidRPr="00C60415" w:rsidRDefault="00777B2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Introducing the Framework for Action on Energy Security on the Pacific: 2010 </w:t>
      </w:r>
      <w:r w:rsidR="003F7826" w:rsidRPr="00C60415">
        <w:rPr>
          <w:rFonts w:ascii="Verdana" w:hAnsi="Verdana"/>
          <w:sz w:val="20"/>
          <w:szCs w:val="20"/>
        </w:rPr>
        <w:t>–</w:t>
      </w:r>
      <w:r w:rsidRPr="00C60415">
        <w:rPr>
          <w:rFonts w:ascii="Verdana" w:hAnsi="Verdana"/>
          <w:sz w:val="20"/>
          <w:szCs w:val="20"/>
        </w:rPr>
        <w:t xml:space="preserve"> 2020</w:t>
      </w:r>
      <w:r w:rsidR="003F7826" w:rsidRPr="00C60415">
        <w:rPr>
          <w:rFonts w:ascii="Verdana" w:hAnsi="Verdana"/>
          <w:sz w:val="20"/>
          <w:szCs w:val="20"/>
        </w:rPr>
        <w:t xml:space="preserve"> and its supporting mechanisms</w:t>
      </w:r>
    </w:p>
    <w:p w14:paraId="78C47CD7" w14:textId="77777777" w:rsidR="00C2444A" w:rsidRPr="00C60415" w:rsidRDefault="00C2444A" w:rsidP="00C60415">
      <w:pPr>
        <w:pStyle w:val="ListParagraph"/>
        <w:ind w:left="1080"/>
        <w:jc w:val="both"/>
        <w:rPr>
          <w:rFonts w:ascii="Verdana" w:hAnsi="Verdana"/>
          <w:sz w:val="20"/>
          <w:szCs w:val="20"/>
        </w:rPr>
      </w:pPr>
    </w:p>
    <w:p w14:paraId="12578727" w14:textId="2469A9E2" w:rsidR="00D73E16" w:rsidRPr="00C60415" w:rsidRDefault="00B05D62" w:rsidP="00C60415">
      <w:pPr>
        <w:pStyle w:val="ListParagraph"/>
        <w:ind w:left="851" w:hanging="284"/>
        <w:jc w:val="both"/>
        <w:rPr>
          <w:rFonts w:ascii="Verdana" w:hAnsi="Verdana"/>
          <w:b/>
          <w:sz w:val="20"/>
          <w:szCs w:val="20"/>
        </w:rPr>
      </w:pPr>
      <w:r w:rsidRPr="00C60415">
        <w:rPr>
          <w:rFonts w:ascii="Verdana" w:hAnsi="Verdana"/>
          <w:b/>
          <w:sz w:val="20"/>
          <w:szCs w:val="20"/>
        </w:rPr>
        <w:t xml:space="preserve">Day 2: </w:t>
      </w:r>
      <w:r w:rsidR="00D73E16" w:rsidRPr="00C60415">
        <w:rPr>
          <w:rFonts w:ascii="Verdana" w:hAnsi="Verdana"/>
          <w:b/>
          <w:sz w:val="20"/>
          <w:szCs w:val="20"/>
        </w:rPr>
        <w:t>Progress with the implementation of the</w:t>
      </w:r>
      <w:r w:rsidR="00977B2C">
        <w:rPr>
          <w:rFonts w:ascii="Verdana" w:hAnsi="Verdana"/>
          <w:b/>
          <w:sz w:val="20"/>
          <w:szCs w:val="20"/>
        </w:rPr>
        <w:t xml:space="preserve"> NERM</w:t>
      </w:r>
      <w:r w:rsidR="00D73E16" w:rsidRPr="00C60415">
        <w:rPr>
          <w:rFonts w:ascii="Verdana" w:hAnsi="Verdana"/>
          <w:b/>
          <w:sz w:val="20"/>
          <w:szCs w:val="20"/>
        </w:rPr>
        <w:t xml:space="preserve">. </w:t>
      </w:r>
    </w:p>
    <w:p w14:paraId="4F0E6A21" w14:textId="580EA894" w:rsidR="00B05D62" w:rsidRPr="00C60415" w:rsidRDefault="00B05D62" w:rsidP="00C60415">
      <w:pPr>
        <w:pStyle w:val="ListParagraph"/>
        <w:ind w:left="1080" w:hanging="796"/>
        <w:jc w:val="both"/>
        <w:rPr>
          <w:rFonts w:ascii="Verdana" w:hAnsi="Verdana"/>
          <w:b/>
          <w:sz w:val="20"/>
          <w:szCs w:val="20"/>
        </w:rPr>
      </w:pPr>
    </w:p>
    <w:p w14:paraId="5048EF7D" w14:textId="451197A8" w:rsidR="003F7826" w:rsidRPr="00C60415" w:rsidRDefault="00F525C8" w:rsidP="00C60415">
      <w:pPr>
        <w:pStyle w:val="ListParagraph"/>
        <w:ind w:left="567"/>
        <w:jc w:val="both"/>
        <w:rPr>
          <w:rFonts w:ascii="Verdana" w:hAnsi="Verdana"/>
          <w:sz w:val="20"/>
          <w:szCs w:val="20"/>
        </w:rPr>
      </w:pPr>
      <w:r>
        <w:rPr>
          <w:rFonts w:ascii="Verdana" w:hAnsi="Verdana"/>
          <w:sz w:val="20"/>
          <w:szCs w:val="20"/>
        </w:rPr>
        <w:t>Day 2</w:t>
      </w:r>
      <w:r w:rsidR="003F7826" w:rsidRPr="00C60415">
        <w:rPr>
          <w:rFonts w:ascii="Verdana" w:hAnsi="Verdana"/>
          <w:sz w:val="20"/>
          <w:szCs w:val="20"/>
        </w:rPr>
        <w:t xml:space="preserve"> </w:t>
      </w:r>
      <w:r w:rsidR="00D920D7" w:rsidRPr="00C60415">
        <w:rPr>
          <w:rFonts w:ascii="Verdana" w:hAnsi="Verdana"/>
          <w:sz w:val="20"/>
          <w:szCs w:val="20"/>
        </w:rPr>
        <w:t xml:space="preserve">will focus on highlighting the progress with the implementation of </w:t>
      </w:r>
      <w:r w:rsidR="00977B2C">
        <w:rPr>
          <w:rFonts w:ascii="Verdana" w:hAnsi="Verdana"/>
          <w:sz w:val="20"/>
          <w:szCs w:val="20"/>
        </w:rPr>
        <w:t>Vanuatu’s</w:t>
      </w:r>
      <w:r w:rsidR="00D920D7" w:rsidRPr="00C60415">
        <w:rPr>
          <w:rFonts w:ascii="Verdana" w:hAnsi="Verdana"/>
          <w:sz w:val="20"/>
          <w:szCs w:val="20"/>
        </w:rPr>
        <w:t xml:space="preserve"> energy roadmap. </w:t>
      </w:r>
      <w:r w:rsidR="003F7826" w:rsidRPr="00C60415">
        <w:rPr>
          <w:rFonts w:ascii="Verdana" w:hAnsi="Verdana"/>
          <w:sz w:val="20"/>
          <w:szCs w:val="20"/>
        </w:rPr>
        <w:t>Possible topics / sub-headings include:</w:t>
      </w:r>
    </w:p>
    <w:p w14:paraId="45660C88" w14:textId="7147D0F6" w:rsidR="00C2444A" w:rsidRPr="00C60415" w:rsidRDefault="00C2444A" w:rsidP="00C60415">
      <w:pPr>
        <w:pStyle w:val="ListParagraph"/>
        <w:ind w:left="851" w:hanging="284"/>
        <w:jc w:val="both"/>
        <w:rPr>
          <w:rFonts w:ascii="Verdana" w:hAnsi="Verdana"/>
          <w:b/>
          <w:sz w:val="20"/>
          <w:szCs w:val="20"/>
        </w:rPr>
      </w:pPr>
    </w:p>
    <w:p w14:paraId="439BDD75" w14:textId="7AF3D349" w:rsidR="00F525C8" w:rsidRDefault="00F525C8" w:rsidP="00C60415">
      <w:pPr>
        <w:pStyle w:val="ListParagraph"/>
        <w:numPr>
          <w:ilvl w:val="0"/>
          <w:numId w:val="6"/>
        </w:numPr>
        <w:spacing w:after="0" w:line="240" w:lineRule="auto"/>
        <w:ind w:left="851" w:hanging="284"/>
        <w:jc w:val="both"/>
        <w:rPr>
          <w:rFonts w:ascii="Verdana" w:hAnsi="Verdana"/>
          <w:sz w:val="20"/>
          <w:szCs w:val="20"/>
        </w:rPr>
      </w:pPr>
      <w:r>
        <w:rPr>
          <w:rFonts w:ascii="Verdana" w:hAnsi="Verdana"/>
          <w:sz w:val="20"/>
          <w:szCs w:val="20"/>
        </w:rPr>
        <w:t>Vanuatu’s Progress and Challenges by Specific Projects</w:t>
      </w:r>
    </w:p>
    <w:p w14:paraId="437EC85D" w14:textId="0D00F96D" w:rsidR="00AB664F" w:rsidRDefault="00AB664F" w:rsidP="00C60415">
      <w:pPr>
        <w:pStyle w:val="ListParagraph"/>
        <w:numPr>
          <w:ilvl w:val="0"/>
          <w:numId w:val="6"/>
        </w:numPr>
        <w:spacing w:after="0" w:line="240" w:lineRule="auto"/>
        <w:ind w:left="851" w:hanging="284"/>
        <w:jc w:val="both"/>
        <w:rPr>
          <w:rFonts w:ascii="Verdana" w:hAnsi="Verdana"/>
          <w:sz w:val="20"/>
          <w:szCs w:val="20"/>
        </w:rPr>
      </w:pPr>
      <w:r>
        <w:rPr>
          <w:rFonts w:ascii="Verdana" w:hAnsi="Verdana"/>
          <w:sz w:val="20"/>
          <w:szCs w:val="20"/>
        </w:rPr>
        <w:t xml:space="preserve">Perspective from the Power Utilities </w:t>
      </w:r>
      <w:r w:rsidR="00823BBA">
        <w:rPr>
          <w:rFonts w:ascii="Verdana" w:hAnsi="Verdana"/>
          <w:sz w:val="20"/>
          <w:szCs w:val="20"/>
        </w:rPr>
        <w:t>–</w:t>
      </w:r>
      <w:r>
        <w:rPr>
          <w:rFonts w:ascii="Verdana" w:hAnsi="Verdana"/>
          <w:sz w:val="20"/>
          <w:szCs w:val="20"/>
        </w:rPr>
        <w:t xml:space="preserve"> Reaching the 100% RE target by 2030</w:t>
      </w:r>
    </w:p>
    <w:p w14:paraId="6B286985" w14:textId="05BD015B" w:rsidR="00A6127B" w:rsidRDefault="00AB664F" w:rsidP="00C60415">
      <w:pPr>
        <w:pStyle w:val="ListParagraph"/>
        <w:numPr>
          <w:ilvl w:val="0"/>
          <w:numId w:val="6"/>
        </w:numPr>
        <w:spacing w:after="0" w:line="240" w:lineRule="auto"/>
        <w:ind w:left="851" w:hanging="284"/>
        <w:jc w:val="both"/>
        <w:rPr>
          <w:rFonts w:ascii="Verdana" w:hAnsi="Verdana"/>
          <w:sz w:val="20"/>
          <w:szCs w:val="20"/>
        </w:rPr>
      </w:pPr>
      <w:r>
        <w:rPr>
          <w:rFonts w:ascii="Verdana" w:hAnsi="Verdana"/>
          <w:sz w:val="20"/>
          <w:szCs w:val="20"/>
        </w:rPr>
        <w:t>Perspective from the Utility Regulator – Reaching the 100% Renewable Energy by 2030</w:t>
      </w:r>
    </w:p>
    <w:p w14:paraId="3EE9B329" w14:textId="77777777" w:rsidR="00DB53A1" w:rsidRPr="00C60415" w:rsidRDefault="00DB53A1" w:rsidP="00DB53A1">
      <w:pPr>
        <w:pStyle w:val="ListParagraph"/>
        <w:spacing w:after="0" w:line="240" w:lineRule="auto"/>
        <w:ind w:left="851"/>
        <w:jc w:val="both"/>
        <w:rPr>
          <w:rFonts w:ascii="Verdana" w:hAnsi="Verdana"/>
          <w:sz w:val="20"/>
          <w:szCs w:val="20"/>
        </w:rPr>
      </w:pPr>
    </w:p>
    <w:p w14:paraId="30CEF946" w14:textId="28DEC875" w:rsidR="00D73E16" w:rsidRDefault="00A26F4F" w:rsidP="00C60415">
      <w:pPr>
        <w:ind w:left="567" w:hanging="283"/>
        <w:jc w:val="both"/>
        <w:rPr>
          <w:rFonts w:ascii="Verdana" w:hAnsi="Verdana"/>
          <w:b/>
          <w:sz w:val="20"/>
          <w:szCs w:val="20"/>
        </w:rPr>
      </w:pPr>
      <w:r w:rsidRPr="00C60415">
        <w:rPr>
          <w:rFonts w:ascii="Verdana" w:hAnsi="Verdana"/>
          <w:b/>
          <w:sz w:val="20"/>
          <w:szCs w:val="20"/>
        </w:rPr>
        <w:t xml:space="preserve">Day </w:t>
      </w:r>
      <w:r w:rsidR="00DB53A1">
        <w:rPr>
          <w:rFonts w:ascii="Verdana" w:hAnsi="Verdana"/>
          <w:b/>
          <w:sz w:val="20"/>
          <w:szCs w:val="20"/>
        </w:rPr>
        <w:t>3</w:t>
      </w:r>
      <w:r w:rsidRPr="00C60415">
        <w:rPr>
          <w:rFonts w:ascii="Verdana" w:hAnsi="Verdana"/>
          <w:b/>
          <w:sz w:val="20"/>
          <w:szCs w:val="20"/>
        </w:rPr>
        <w:t xml:space="preserve">: </w:t>
      </w:r>
      <w:r w:rsidR="00AB664F">
        <w:rPr>
          <w:rFonts w:ascii="Verdana" w:hAnsi="Verdana"/>
          <w:b/>
          <w:sz w:val="20"/>
          <w:szCs w:val="20"/>
        </w:rPr>
        <w:t xml:space="preserve">Whole of Sector Approach Towards Achieving the Energy and GHG Mitigation Targets </w:t>
      </w:r>
    </w:p>
    <w:p w14:paraId="7B46A40F" w14:textId="6EA0BE51" w:rsidR="00711EF5" w:rsidRDefault="00332C7F" w:rsidP="00DB53A1">
      <w:pPr>
        <w:ind w:left="283"/>
        <w:jc w:val="both"/>
        <w:rPr>
          <w:rFonts w:ascii="Verdana" w:hAnsi="Verdana"/>
          <w:sz w:val="20"/>
          <w:szCs w:val="20"/>
        </w:rPr>
      </w:pPr>
      <w:r w:rsidRPr="00DB53A1">
        <w:rPr>
          <w:rFonts w:ascii="Verdana" w:hAnsi="Verdana"/>
          <w:sz w:val="20"/>
          <w:szCs w:val="20"/>
        </w:rPr>
        <w:t xml:space="preserve">Day 3 focuses on the whole of sector approach and many </w:t>
      </w:r>
      <w:r w:rsidR="00C204E7" w:rsidRPr="00DB53A1">
        <w:rPr>
          <w:rFonts w:ascii="Verdana" w:hAnsi="Verdana"/>
          <w:sz w:val="20"/>
          <w:szCs w:val="20"/>
        </w:rPr>
        <w:t>players</w:t>
      </w:r>
      <w:r w:rsidRPr="00DB53A1">
        <w:rPr>
          <w:rFonts w:ascii="Verdana" w:hAnsi="Verdana"/>
          <w:sz w:val="20"/>
          <w:szCs w:val="20"/>
        </w:rPr>
        <w:t xml:space="preserve"> one team concept to achieve the energy and GHG mitigation goals. </w:t>
      </w:r>
      <w:r w:rsidR="00267F40" w:rsidRPr="00DB53A1">
        <w:rPr>
          <w:rFonts w:ascii="Verdana" w:hAnsi="Verdana"/>
          <w:sz w:val="20"/>
          <w:szCs w:val="20"/>
        </w:rPr>
        <w:t xml:space="preserve">It also focuses on </w:t>
      </w:r>
      <w:r w:rsidR="00267F40">
        <w:rPr>
          <w:rFonts w:ascii="Verdana" w:hAnsi="Verdana"/>
          <w:sz w:val="20"/>
          <w:szCs w:val="20"/>
        </w:rPr>
        <w:t xml:space="preserve">sharing experience on community management models and identifying a model that can be sustainable and relevant to RE systems in the Vanuatu communities. </w:t>
      </w:r>
      <w:r w:rsidRPr="00DB53A1">
        <w:rPr>
          <w:rFonts w:ascii="Verdana" w:hAnsi="Verdana"/>
          <w:sz w:val="20"/>
          <w:szCs w:val="20"/>
        </w:rPr>
        <w:t xml:space="preserve">Possible topics/sub-headings include: </w:t>
      </w:r>
    </w:p>
    <w:p w14:paraId="47CBA9B5" w14:textId="77777777" w:rsidR="00711EF5" w:rsidRDefault="00AB664F" w:rsidP="00711EF5">
      <w:pPr>
        <w:pStyle w:val="ListParagraph"/>
        <w:numPr>
          <w:ilvl w:val="0"/>
          <w:numId w:val="8"/>
        </w:numPr>
        <w:jc w:val="both"/>
        <w:rPr>
          <w:rFonts w:ascii="Verdana" w:hAnsi="Verdana"/>
          <w:sz w:val="20"/>
          <w:szCs w:val="20"/>
        </w:rPr>
      </w:pPr>
      <w:r w:rsidRPr="00DB53A1">
        <w:rPr>
          <w:rFonts w:ascii="Verdana" w:hAnsi="Verdana"/>
          <w:sz w:val="20"/>
          <w:szCs w:val="20"/>
        </w:rPr>
        <w:t xml:space="preserve">Opportunities for the Private Sector, CSOs, NGOs, Women and Youth </w:t>
      </w:r>
    </w:p>
    <w:p w14:paraId="54EB27A6" w14:textId="77777777" w:rsidR="00711EF5" w:rsidRDefault="00AB664F" w:rsidP="00711EF5">
      <w:pPr>
        <w:pStyle w:val="ListParagraph"/>
        <w:numPr>
          <w:ilvl w:val="0"/>
          <w:numId w:val="8"/>
        </w:numPr>
        <w:jc w:val="both"/>
        <w:rPr>
          <w:rFonts w:ascii="Verdana" w:hAnsi="Verdana"/>
          <w:sz w:val="20"/>
          <w:szCs w:val="20"/>
        </w:rPr>
      </w:pPr>
      <w:r w:rsidRPr="00DB53A1">
        <w:rPr>
          <w:rFonts w:ascii="Verdana" w:hAnsi="Verdana"/>
          <w:sz w:val="20"/>
          <w:szCs w:val="20"/>
        </w:rPr>
        <w:t xml:space="preserve">Promoting Community and Private Sector Participation in Renewable Energy Projects through Productive Utilization of Renewable Energy </w:t>
      </w:r>
    </w:p>
    <w:p w14:paraId="4DA193CE" w14:textId="2E60DC2B" w:rsidR="00332C7F" w:rsidRPr="00DB53A1" w:rsidRDefault="00332C7F" w:rsidP="00DB53A1">
      <w:pPr>
        <w:pStyle w:val="ListParagraph"/>
        <w:numPr>
          <w:ilvl w:val="0"/>
          <w:numId w:val="8"/>
        </w:numPr>
        <w:jc w:val="both"/>
        <w:rPr>
          <w:rFonts w:ascii="Verdana" w:hAnsi="Verdana"/>
          <w:sz w:val="20"/>
          <w:szCs w:val="20"/>
        </w:rPr>
      </w:pPr>
      <w:r w:rsidRPr="00DB53A1">
        <w:rPr>
          <w:rFonts w:ascii="Verdana" w:hAnsi="Verdana"/>
          <w:sz w:val="20"/>
          <w:szCs w:val="20"/>
        </w:rPr>
        <w:t>Sustainable Management Models</w:t>
      </w:r>
    </w:p>
    <w:p w14:paraId="5C2714F6" w14:textId="6E497806" w:rsidR="00332C7F" w:rsidRDefault="00332C7F" w:rsidP="00332C7F">
      <w:pPr>
        <w:jc w:val="both"/>
        <w:rPr>
          <w:rFonts w:ascii="Verdana" w:hAnsi="Verdana"/>
          <w:sz w:val="20"/>
          <w:szCs w:val="20"/>
        </w:rPr>
      </w:pPr>
    </w:p>
    <w:p w14:paraId="30FB8FB4" w14:textId="2C59F710" w:rsidR="00711EF5" w:rsidRPr="00DB53A1" w:rsidRDefault="00332C7F" w:rsidP="00DB53A1">
      <w:pPr>
        <w:jc w:val="both"/>
        <w:rPr>
          <w:rFonts w:ascii="Verdana" w:hAnsi="Verdana"/>
          <w:b/>
          <w:bCs/>
          <w:sz w:val="20"/>
          <w:szCs w:val="20"/>
        </w:rPr>
      </w:pPr>
      <w:r w:rsidRPr="00DB53A1">
        <w:rPr>
          <w:rFonts w:ascii="Verdana" w:hAnsi="Verdana"/>
          <w:b/>
          <w:bCs/>
          <w:sz w:val="20"/>
          <w:szCs w:val="20"/>
        </w:rPr>
        <w:t xml:space="preserve">Day 4: Sustainable </w:t>
      </w:r>
      <w:r w:rsidR="00711EF5" w:rsidRPr="00DB53A1">
        <w:rPr>
          <w:rFonts w:ascii="Verdana" w:hAnsi="Verdana"/>
          <w:b/>
          <w:bCs/>
          <w:sz w:val="20"/>
          <w:szCs w:val="20"/>
        </w:rPr>
        <w:t xml:space="preserve">Energy </w:t>
      </w:r>
      <w:r w:rsidR="00A55733" w:rsidRPr="00DB53A1">
        <w:rPr>
          <w:rFonts w:ascii="Verdana" w:hAnsi="Verdana"/>
          <w:b/>
          <w:bCs/>
          <w:sz w:val="20"/>
          <w:szCs w:val="20"/>
        </w:rPr>
        <w:t>Consortium</w:t>
      </w:r>
      <w:r w:rsidR="00711EF5" w:rsidRPr="00DB53A1">
        <w:rPr>
          <w:rFonts w:ascii="Verdana" w:hAnsi="Verdana"/>
          <w:b/>
          <w:bCs/>
          <w:sz w:val="20"/>
          <w:szCs w:val="20"/>
        </w:rPr>
        <w:t xml:space="preserve"> </w:t>
      </w:r>
    </w:p>
    <w:p w14:paraId="28B2C033" w14:textId="17024EAD" w:rsidR="00711EF5" w:rsidRPr="00DB53A1" w:rsidRDefault="00711EF5" w:rsidP="00DB53A1">
      <w:pPr>
        <w:jc w:val="both"/>
        <w:rPr>
          <w:rFonts w:ascii="Verdana" w:hAnsi="Verdana"/>
          <w:sz w:val="20"/>
          <w:szCs w:val="20"/>
        </w:rPr>
      </w:pPr>
      <w:r>
        <w:rPr>
          <w:rFonts w:ascii="Verdana" w:hAnsi="Verdana"/>
          <w:sz w:val="20"/>
          <w:szCs w:val="20"/>
        </w:rPr>
        <w:t xml:space="preserve">This day will focus on </w:t>
      </w:r>
      <w:r w:rsidR="00A55733">
        <w:rPr>
          <w:rFonts w:ascii="Verdana" w:hAnsi="Verdana"/>
          <w:sz w:val="20"/>
          <w:szCs w:val="20"/>
        </w:rPr>
        <w:t xml:space="preserve">the need to set up a Sustainable Energy Consortium in Vanuatu to boost up private sector participation in the RE&amp;EE market. </w:t>
      </w:r>
      <w:r w:rsidR="00267F40">
        <w:rPr>
          <w:rFonts w:ascii="Verdana" w:hAnsi="Verdana"/>
          <w:sz w:val="20"/>
          <w:szCs w:val="20"/>
        </w:rPr>
        <w:t xml:space="preserve"> </w:t>
      </w:r>
      <w:r w:rsidR="00A55733">
        <w:rPr>
          <w:rFonts w:ascii="Verdana" w:hAnsi="Verdana"/>
          <w:sz w:val="20"/>
          <w:szCs w:val="20"/>
        </w:rPr>
        <w:t>Possible topics include:</w:t>
      </w:r>
    </w:p>
    <w:p w14:paraId="196AA77F" w14:textId="1CD56D67" w:rsidR="00A55733" w:rsidRDefault="00A55733" w:rsidP="00C60415">
      <w:pPr>
        <w:pStyle w:val="ListParagraph"/>
        <w:numPr>
          <w:ilvl w:val="0"/>
          <w:numId w:val="7"/>
        </w:numPr>
        <w:ind w:left="1134" w:hanging="359"/>
        <w:jc w:val="both"/>
        <w:rPr>
          <w:rFonts w:ascii="Verdana" w:hAnsi="Verdana"/>
          <w:sz w:val="20"/>
          <w:szCs w:val="20"/>
        </w:rPr>
      </w:pPr>
      <w:r>
        <w:rPr>
          <w:rFonts w:ascii="Verdana" w:hAnsi="Verdana"/>
          <w:sz w:val="20"/>
          <w:szCs w:val="20"/>
        </w:rPr>
        <w:t xml:space="preserve">Supporting the Private Sector Participation in Renewable Energy </w:t>
      </w:r>
    </w:p>
    <w:p w14:paraId="79CB204B" w14:textId="533CD859" w:rsidR="00A55733" w:rsidRDefault="00A55733" w:rsidP="00C60415">
      <w:pPr>
        <w:pStyle w:val="ListParagraph"/>
        <w:numPr>
          <w:ilvl w:val="0"/>
          <w:numId w:val="7"/>
        </w:numPr>
        <w:ind w:left="1134" w:hanging="359"/>
        <w:jc w:val="both"/>
        <w:rPr>
          <w:rFonts w:ascii="Verdana" w:hAnsi="Verdana"/>
          <w:sz w:val="20"/>
          <w:szCs w:val="20"/>
        </w:rPr>
      </w:pPr>
      <w:r>
        <w:rPr>
          <w:rFonts w:ascii="Verdana" w:hAnsi="Verdana"/>
          <w:sz w:val="20"/>
          <w:szCs w:val="20"/>
        </w:rPr>
        <w:t>The need for a sustainable energy consortium</w:t>
      </w:r>
    </w:p>
    <w:p w14:paraId="34E1D1B0" w14:textId="77777777" w:rsidR="00D73E16" w:rsidRPr="00C60415" w:rsidRDefault="00D73E16" w:rsidP="00C60415">
      <w:pPr>
        <w:pStyle w:val="ListParagraph"/>
        <w:ind w:left="567" w:hanging="283"/>
        <w:jc w:val="both"/>
        <w:rPr>
          <w:rFonts w:ascii="Verdana" w:hAnsi="Verdana"/>
          <w:b/>
          <w:sz w:val="20"/>
          <w:szCs w:val="20"/>
        </w:rPr>
      </w:pPr>
    </w:p>
    <w:p w14:paraId="0F017860" w14:textId="3391E94B" w:rsidR="00D73E16" w:rsidRPr="00DB53A1" w:rsidRDefault="00A6127B" w:rsidP="00DB53A1">
      <w:pPr>
        <w:jc w:val="both"/>
        <w:rPr>
          <w:rFonts w:ascii="Verdana" w:hAnsi="Verdana"/>
          <w:b/>
          <w:sz w:val="20"/>
          <w:szCs w:val="20"/>
        </w:rPr>
      </w:pPr>
      <w:r w:rsidRPr="00DB53A1">
        <w:rPr>
          <w:rFonts w:ascii="Verdana" w:hAnsi="Verdana"/>
          <w:b/>
          <w:sz w:val="20"/>
          <w:szCs w:val="20"/>
        </w:rPr>
        <w:t xml:space="preserve">Day </w:t>
      </w:r>
      <w:r w:rsidR="00782536" w:rsidRPr="00DB53A1">
        <w:rPr>
          <w:rFonts w:ascii="Verdana" w:hAnsi="Verdana"/>
          <w:b/>
          <w:sz w:val="20"/>
          <w:szCs w:val="20"/>
        </w:rPr>
        <w:t>5</w:t>
      </w:r>
      <w:r w:rsidRPr="00DB53A1">
        <w:rPr>
          <w:rFonts w:ascii="Verdana" w:hAnsi="Verdana"/>
          <w:b/>
          <w:sz w:val="20"/>
          <w:szCs w:val="20"/>
        </w:rPr>
        <w:t xml:space="preserve">: </w:t>
      </w:r>
      <w:r w:rsidR="00782536" w:rsidRPr="00DB53A1">
        <w:rPr>
          <w:rFonts w:ascii="Verdana" w:hAnsi="Verdana"/>
          <w:b/>
          <w:sz w:val="20"/>
          <w:szCs w:val="20"/>
        </w:rPr>
        <w:t>PCREEE School Competition on RE&amp;EE</w:t>
      </w:r>
      <w:r w:rsidR="00D73E16" w:rsidRPr="00DB53A1">
        <w:rPr>
          <w:rFonts w:ascii="Verdana" w:hAnsi="Verdana"/>
          <w:b/>
          <w:sz w:val="20"/>
          <w:szCs w:val="20"/>
        </w:rPr>
        <w:t xml:space="preserve"> </w:t>
      </w:r>
    </w:p>
    <w:p w14:paraId="6C853B02" w14:textId="77777777" w:rsidR="00D73E16" w:rsidRPr="00C60415" w:rsidRDefault="00D73E16" w:rsidP="00C60415">
      <w:pPr>
        <w:pStyle w:val="ListParagraph"/>
        <w:ind w:left="284"/>
        <w:jc w:val="both"/>
        <w:rPr>
          <w:rFonts w:ascii="Verdana" w:hAnsi="Verdana"/>
          <w:sz w:val="20"/>
          <w:szCs w:val="20"/>
        </w:rPr>
      </w:pPr>
    </w:p>
    <w:p w14:paraId="6BF8C0D6" w14:textId="4ABDB1F2" w:rsidR="00F01118" w:rsidRPr="00C60415" w:rsidRDefault="00782536" w:rsidP="00C60415">
      <w:pPr>
        <w:pStyle w:val="ListParagraph"/>
        <w:ind w:left="284"/>
        <w:jc w:val="both"/>
        <w:rPr>
          <w:rFonts w:ascii="Verdana" w:hAnsi="Verdana"/>
          <w:sz w:val="20"/>
          <w:szCs w:val="20"/>
        </w:rPr>
      </w:pPr>
      <w:r>
        <w:rPr>
          <w:rFonts w:ascii="Verdana" w:hAnsi="Verdana"/>
          <w:sz w:val="20"/>
          <w:szCs w:val="20"/>
        </w:rPr>
        <w:t>The school competition is an initiative promoted by PCREEE in schools across the Pacific to stimulate interests and innovative thinking among students in the areas of sustainable energy and entrepreneurship</w:t>
      </w:r>
      <w:r w:rsidR="00DB53A1">
        <w:rPr>
          <w:rFonts w:ascii="Verdana" w:hAnsi="Verdana"/>
          <w:sz w:val="20"/>
          <w:szCs w:val="20"/>
        </w:rPr>
        <w:t xml:space="preserve">. </w:t>
      </w:r>
    </w:p>
    <w:p w14:paraId="4912F533" w14:textId="77777777" w:rsidR="0089216F" w:rsidRPr="00C60415" w:rsidRDefault="0089216F" w:rsidP="00C60415">
      <w:pPr>
        <w:pStyle w:val="ListParagraph"/>
        <w:ind w:left="1080"/>
        <w:jc w:val="both"/>
        <w:rPr>
          <w:rFonts w:ascii="Verdana" w:hAnsi="Verdana"/>
          <w:sz w:val="20"/>
          <w:szCs w:val="20"/>
        </w:rPr>
      </w:pPr>
    </w:p>
    <w:p w14:paraId="0EE45C2E" w14:textId="41113F97" w:rsidR="0062260F" w:rsidRPr="00C60415" w:rsidRDefault="0062260F"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lastRenderedPageBreak/>
        <w:t>Possible Partners</w:t>
      </w:r>
      <w:bookmarkStart w:id="2" w:name="_GoBack"/>
      <w:bookmarkEnd w:id="2"/>
    </w:p>
    <w:p w14:paraId="69B100BD" w14:textId="6F1A91C1" w:rsidR="0062260F" w:rsidRPr="00C60415" w:rsidRDefault="00700E35" w:rsidP="00C60415">
      <w:pPr>
        <w:spacing w:after="0" w:line="240" w:lineRule="auto"/>
        <w:jc w:val="both"/>
        <w:rPr>
          <w:rFonts w:ascii="Verdana" w:hAnsi="Verdana"/>
          <w:sz w:val="20"/>
          <w:szCs w:val="20"/>
        </w:rPr>
      </w:pPr>
      <w:r w:rsidRPr="00C60415">
        <w:rPr>
          <w:rFonts w:ascii="Verdana" w:hAnsi="Verdana"/>
          <w:sz w:val="20"/>
          <w:szCs w:val="20"/>
        </w:rPr>
        <w:t xml:space="preserve">The </w:t>
      </w:r>
      <w:r w:rsidR="00DA4F15" w:rsidRPr="00C60415">
        <w:rPr>
          <w:rFonts w:ascii="Verdana" w:hAnsi="Verdana"/>
          <w:sz w:val="20"/>
          <w:szCs w:val="20"/>
        </w:rPr>
        <w:t xml:space="preserve">workshop </w:t>
      </w:r>
      <w:r w:rsidR="00ED6ABA" w:rsidRPr="00C60415">
        <w:rPr>
          <w:rFonts w:ascii="Verdana" w:hAnsi="Verdana"/>
          <w:sz w:val="20"/>
          <w:szCs w:val="20"/>
        </w:rPr>
        <w:t xml:space="preserve">will be conducted as </w:t>
      </w:r>
      <w:r w:rsidR="007063B8" w:rsidRPr="00C60415">
        <w:rPr>
          <w:rFonts w:ascii="Verdana" w:hAnsi="Verdana"/>
          <w:sz w:val="20"/>
          <w:szCs w:val="20"/>
        </w:rPr>
        <w:t xml:space="preserve">a </w:t>
      </w:r>
      <w:r w:rsidR="00ED6ABA" w:rsidRPr="00C60415">
        <w:rPr>
          <w:rFonts w:ascii="Verdana" w:hAnsi="Verdana"/>
          <w:noProof/>
          <w:sz w:val="20"/>
          <w:szCs w:val="20"/>
        </w:rPr>
        <w:t>partnership</w:t>
      </w:r>
      <w:r w:rsidR="00ED6ABA" w:rsidRPr="00C60415">
        <w:rPr>
          <w:rFonts w:ascii="Verdana" w:hAnsi="Verdana"/>
          <w:sz w:val="20"/>
          <w:szCs w:val="20"/>
        </w:rPr>
        <w:t xml:space="preserve"> </w:t>
      </w:r>
      <w:r w:rsidR="00DA4F15" w:rsidRPr="00C60415">
        <w:rPr>
          <w:rFonts w:ascii="Verdana" w:hAnsi="Verdana"/>
          <w:sz w:val="20"/>
          <w:szCs w:val="20"/>
        </w:rPr>
        <w:t xml:space="preserve">between </w:t>
      </w:r>
      <w:r w:rsidR="006A5355">
        <w:rPr>
          <w:rFonts w:ascii="Verdana" w:hAnsi="Verdana"/>
          <w:sz w:val="20"/>
          <w:szCs w:val="20"/>
        </w:rPr>
        <w:t>SPC-</w:t>
      </w:r>
      <w:r w:rsidR="00DA4F15" w:rsidRPr="00C60415">
        <w:rPr>
          <w:rFonts w:ascii="Verdana" w:hAnsi="Verdana"/>
          <w:sz w:val="20"/>
          <w:szCs w:val="20"/>
        </w:rPr>
        <w:t xml:space="preserve">PCREEE, </w:t>
      </w:r>
      <w:r w:rsidR="006A5355">
        <w:rPr>
          <w:rFonts w:ascii="Verdana" w:hAnsi="Verdana"/>
          <w:sz w:val="20"/>
          <w:szCs w:val="20"/>
        </w:rPr>
        <w:t xml:space="preserve">SPC GEP team, </w:t>
      </w:r>
      <w:r w:rsidR="0009356F" w:rsidRPr="00C60415">
        <w:rPr>
          <w:rFonts w:ascii="Verdana" w:hAnsi="Verdana"/>
          <w:sz w:val="20"/>
          <w:szCs w:val="20"/>
        </w:rPr>
        <w:t xml:space="preserve">SPREP, </w:t>
      </w:r>
      <w:r w:rsidR="00977B2C">
        <w:rPr>
          <w:rFonts w:ascii="Verdana" w:hAnsi="Verdana"/>
          <w:sz w:val="20"/>
          <w:szCs w:val="20"/>
        </w:rPr>
        <w:t xml:space="preserve">Vanuatu Department of Energy, </w:t>
      </w:r>
      <w:r w:rsidR="0009356F" w:rsidRPr="00C60415">
        <w:rPr>
          <w:rFonts w:ascii="Verdana" w:hAnsi="Verdana"/>
          <w:sz w:val="20"/>
          <w:szCs w:val="20"/>
        </w:rPr>
        <w:t xml:space="preserve">the </w:t>
      </w:r>
      <w:r w:rsidR="00977B2C">
        <w:rPr>
          <w:rFonts w:ascii="Verdana" w:hAnsi="Verdana"/>
          <w:sz w:val="20"/>
          <w:szCs w:val="20"/>
        </w:rPr>
        <w:t>Vanuatu</w:t>
      </w:r>
      <w:r w:rsidR="0009356F" w:rsidRPr="00C60415">
        <w:rPr>
          <w:rFonts w:ascii="Verdana" w:hAnsi="Verdana"/>
          <w:sz w:val="20"/>
          <w:szCs w:val="20"/>
        </w:rPr>
        <w:t xml:space="preserve"> Power </w:t>
      </w:r>
      <w:r w:rsidR="00977B2C">
        <w:rPr>
          <w:rFonts w:ascii="Verdana" w:hAnsi="Verdana"/>
          <w:sz w:val="20"/>
          <w:szCs w:val="20"/>
        </w:rPr>
        <w:t>Utilities</w:t>
      </w:r>
      <w:r w:rsidR="0009356F" w:rsidRPr="00C60415">
        <w:rPr>
          <w:rFonts w:ascii="Verdana" w:hAnsi="Verdana"/>
          <w:sz w:val="20"/>
          <w:szCs w:val="20"/>
        </w:rPr>
        <w:t xml:space="preserve">, </w:t>
      </w:r>
      <w:r w:rsidR="00977B2C">
        <w:rPr>
          <w:rFonts w:ascii="Verdana" w:hAnsi="Verdana"/>
          <w:sz w:val="20"/>
          <w:szCs w:val="20"/>
        </w:rPr>
        <w:t>Vanuatu’s</w:t>
      </w:r>
      <w:r w:rsidR="0009356F" w:rsidRPr="00C60415">
        <w:rPr>
          <w:rFonts w:ascii="Verdana" w:hAnsi="Verdana"/>
          <w:sz w:val="20"/>
          <w:szCs w:val="20"/>
        </w:rPr>
        <w:t xml:space="preserve"> Department of Climate Change </w:t>
      </w:r>
      <w:r w:rsidR="00977B2C">
        <w:rPr>
          <w:rFonts w:ascii="Verdana" w:hAnsi="Verdana"/>
          <w:sz w:val="20"/>
          <w:szCs w:val="20"/>
        </w:rPr>
        <w:t>and the National Advisory Board on Climate Change</w:t>
      </w:r>
      <w:r w:rsidR="0009356F" w:rsidRPr="00C60415">
        <w:rPr>
          <w:rFonts w:ascii="Verdana" w:hAnsi="Verdana"/>
          <w:sz w:val="20"/>
          <w:szCs w:val="20"/>
        </w:rPr>
        <w:t xml:space="preserve">, the local Chamber of Commerce as well as other arms of government.  </w:t>
      </w:r>
      <w:r w:rsidR="00ED6ABA" w:rsidRPr="00C60415">
        <w:rPr>
          <w:rFonts w:ascii="Verdana" w:hAnsi="Verdana"/>
          <w:sz w:val="20"/>
          <w:szCs w:val="20"/>
        </w:rPr>
        <w:t xml:space="preserve"> </w:t>
      </w:r>
    </w:p>
    <w:p w14:paraId="0CF872B5" w14:textId="77777777" w:rsidR="00413B50" w:rsidRPr="00C60415" w:rsidRDefault="00413B50" w:rsidP="00C60415">
      <w:pPr>
        <w:spacing w:after="0" w:line="240" w:lineRule="auto"/>
        <w:jc w:val="both"/>
        <w:rPr>
          <w:rFonts w:ascii="Verdana" w:hAnsi="Verdana"/>
          <w:b/>
          <w:sz w:val="20"/>
          <w:szCs w:val="20"/>
        </w:rPr>
      </w:pPr>
    </w:p>
    <w:p w14:paraId="32554F23" w14:textId="621203C9" w:rsidR="00413B50" w:rsidRPr="00C60415" w:rsidRDefault="00413B50"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Complementarity and Replicability</w:t>
      </w:r>
    </w:p>
    <w:p w14:paraId="68282D14" w14:textId="17CB909A" w:rsidR="00FC2063" w:rsidRPr="00C60415" w:rsidRDefault="00FC2063" w:rsidP="00C60415">
      <w:pPr>
        <w:pStyle w:val="ListParagraph"/>
        <w:jc w:val="both"/>
        <w:rPr>
          <w:rFonts w:ascii="Verdana" w:hAnsi="Verdana"/>
          <w:b/>
          <w:sz w:val="20"/>
          <w:szCs w:val="20"/>
        </w:rPr>
      </w:pPr>
    </w:p>
    <w:p w14:paraId="045212D8" w14:textId="21323A0B" w:rsidR="00FC2063" w:rsidRPr="00C60415" w:rsidRDefault="00FC2063" w:rsidP="00C60415">
      <w:pPr>
        <w:pStyle w:val="ListParagraph"/>
        <w:ind w:left="0"/>
        <w:jc w:val="both"/>
        <w:rPr>
          <w:rFonts w:ascii="Verdana" w:hAnsi="Verdana"/>
          <w:sz w:val="20"/>
          <w:szCs w:val="20"/>
        </w:rPr>
      </w:pPr>
      <w:r w:rsidRPr="00C60415">
        <w:rPr>
          <w:rFonts w:ascii="Verdana" w:hAnsi="Verdana"/>
          <w:sz w:val="20"/>
          <w:szCs w:val="20"/>
        </w:rPr>
        <w:t xml:space="preserve">The </w:t>
      </w:r>
      <w:r w:rsidR="00D27AB9" w:rsidRPr="00C60415">
        <w:rPr>
          <w:rFonts w:ascii="Verdana" w:hAnsi="Verdana"/>
          <w:sz w:val="20"/>
          <w:szCs w:val="20"/>
        </w:rPr>
        <w:t xml:space="preserve">dialogue </w:t>
      </w:r>
      <w:r w:rsidRPr="00C60415">
        <w:rPr>
          <w:rFonts w:ascii="Verdana" w:hAnsi="Verdana"/>
          <w:sz w:val="20"/>
          <w:szCs w:val="20"/>
        </w:rPr>
        <w:t>is open to be integrated with other related events of partners.</w:t>
      </w:r>
    </w:p>
    <w:p w14:paraId="3A492A2C" w14:textId="77777777" w:rsidR="00FC2063" w:rsidRPr="00C60415" w:rsidRDefault="00FC2063" w:rsidP="00C60415">
      <w:pPr>
        <w:pStyle w:val="ListParagraph"/>
        <w:ind w:left="0"/>
        <w:jc w:val="both"/>
        <w:rPr>
          <w:rFonts w:ascii="Verdana" w:hAnsi="Verdana"/>
          <w:sz w:val="20"/>
          <w:szCs w:val="20"/>
        </w:rPr>
      </w:pPr>
    </w:p>
    <w:p w14:paraId="77771F5C" w14:textId="7374574F" w:rsidR="00FC2063" w:rsidRPr="00C60415" w:rsidRDefault="00FC2063" w:rsidP="00C60415">
      <w:pPr>
        <w:pStyle w:val="ListParagraph"/>
        <w:ind w:left="0"/>
        <w:jc w:val="both"/>
        <w:rPr>
          <w:rFonts w:ascii="Verdana" w:hAnsi="Verdana"/>
          <w:sz w:val="20"/>
          <w:szCs w:val="20"/>
        </w:rPr>
      </w:pPr>
      <w:r w:rsidRPr="00C60415">
        <w:rPr>
          <w:rFonts w:ascii="Verdana" w:hAnsi="Verdana"/>
          <w:sz w:val="20"/>
          <w:szCs w:val="20"/>
        </w:rPr>
        <w:t xml:space="preserve">The </w:t>
      </w:r>
      <w:r w:rsidR="00D012A8" w:rsidRPr="00C60415">
        <w:rPr>
          <w:rFonts w:ascii="Verdana" w:hAnsi="Verdana"/>
          <w:sz w:val="20"/>
          <w:szCs w:val="20"/>
        </w:rPr>
        <w:t xml:space="preserve">Dialogue is relevant to the work of the Pacific NDC Hub as well as to the GCF Accredited Entity role of SPREP.   </w:t>
      </w:r>
    </w:p>
    <w:p w14:paraId="51467400" w14:textId="77777777" w:rsidR="00121187" w:rsidRPr="00C60415" w:rsidRDefault="00121187" w:rsidP="00C60415">
      <w:pPr>
        <w:pStyle w:val="ListParagraph"/>
        <w:ind w:left="0"/>
        <w:jc w:val="both"/>
        <w:rPr>
          <w:rFonts w:ascii="Verdana" w:hAnsi="Verdana"/>
          <w:sz w:val="20"/>
          <w:szCs w:val="20"/>
        </w:rPr>
      </w:pPr>
    </w:p>
    <w:p w14:paraId="59664B44" w14:textId="69569CFC" w:rsidR="00D73E16" w:rsidRPr="00C60415" w:rsidRDefault="00D73E16"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 xml:space="preserve">Budget </w:t>
      </w:r>
      <w:r w:rsidR="003444C7" w:rsidRPr="00C60415">
        <w:rPr>
          <w:rFonts w:ascii="Verdana" w:hAnsi="Verdana"/>
          <w:sz w:val="20"/>
          <w:szCs w:val="20"/>
        </w:rPr>
        <w:t xml:space="preserve">(based on </w:t>
      </w:r>
      <w:r w:rsidR="0071539B">
        <w:rPr>
          <w:rFonts w:ascii="Verdana" w:hAnsi="Verdana"/>
          <w:sz w:val="20"/>
          <w:szCs w:val="20"/>
        </w:rPr>
        <w:t>30</w:t>
      </w:r>
      <w:r w:rsidR="003444C7" w:rsidRPr="00C60415">
        <w:rPr>
          <w:rFonts w:ascii="Verdana" w:hAnsi="Verdana"/>
          <w:sz w:val="20"/>
          <w:szCs w:val="20"/>
        </w:rPr>
        <w:t xml:space="preserve"> people, including 4 resources people) </w:t>
      </w:r>
    </w:p>
    <w:tbl>
      <w:tblPr>
        <w:tblStyle w:val="TableGrid"/>
        <w:tblW w:w="9351" w:type="dxa"/>
        <w:tblLook w:val="04A0" w:firstRow="1" w:lastRow="0" w:firstColumn="1" w:lastColumn="0" w:noHBand="0" w:noVBand="1"/>
      </w:tblPr>
      <w:tblGrid>
        <w:gridCol w:w="1723"/>
        <w:gridCol w:w="1548"/>
        <w:gridCol w:w="6080"/>
      </w:tblGrid>
      <w:tr w:rsidR="00845E8E" w:rsidRPr="00C60415" w14:paraId="359B2A58" w14:textId="77777777" w:rsidTr="00845E8E">
        <w:tc>
          <w:tcPr>
            <w:tcW w:w="155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3B729B5D" w14:textId="71604C2E" w:rsidR="003444C7" w:rsidRPr="00C60415" w:rsidRDefault="003444C7"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Cost Item</w:t>
            </w:r>
          </w:p>
        </w:tc>
        <w:tc>
          <w:tcPr>
            <w:tcW w:w="155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36BF0AD7" w14:textId="3AD163C3" w:rsidR="003444C7" w:rsidRPr="00C60415" w:rsidRDefault="003444C7"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Estimate [</w:t>
            </w:r>
            <w:r w:rsidR="0071539B">
              <w:rPr>
                <w:rFonts w:ascii="Verdana" w:hAnsi="Verdana"/>
                <w:b/>
                <w:color w:val="FFFFFF" w:themeColor="background1"/>
                <w:sz w:val="20"/>
                <w:szCs w:val="20"/>
              </w:rPr>
              <w:t>Vatu</w:t>
            </w:r>
            <w:r w:rsidRPr="00C60415">
              <w:rPr>
                <w:rFonts w:ascii="Verdana" w:hAnsi="Verdana"/>
                <w:b/>
                <w:color w:val="FFFFFF" w:themeColor="background1"/>
                <w:sz w:val="20"/>
                <w:szCs w:val="20"/>
              </w:rPr>
              <w:t>]</w:t>
            </w:r>
          </w:p>
        </w:tc>
        <w:tc>
          <w:tcPr>
            <w:tcW w:w="6235"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5A0F9B97" w14:textId="40F7C090" w:rsidR="003444C7" w:rsidRPr="00C60415" w:rsidRDefault="003444C7"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Comments</w:t>
            </w:r>
          </w:p>
        </w:tc>
      </w:tr>
      <w:tr w:rsidR="003444C7" w:rsidRPr="00C60415" w14:paraId="57D62F37" w14:textId="77777777" w:rsidTr="00845E8E">
        <w:tc>
          <w:tcPr>
            <w:tcW w:w="1558" w:type="dxa"/>
            <w:tcBorders>
              <w:top w:val="single" w:sz="4" w:space="0" w:color="FFFFFF" w:themeColor="background1"/>
            </w:tcBorders>
          </w:tcPr>
          <w:p w14:paraId="1CB45374" w14:textId="72E06784" w:rsidR="003444C7" w:rsidRPr="00C60415" w:rsidRDefault="003444C7" w:rsidP="00C60415">
            <w:pPr>
              <w:jc w:val="both"/>
              <w:rPr>
                <w:rFonts w:ascii="Verdana" w:hAnsi="Verdana"/>
                <w:sz w:val="20"/>
                <w:szCs w:val="20"/>
              </w:rPr>
            </w:pPr>
            <w:r w:rsidRPr="00C60415">
              <w:rPr>
                <w:rFonts w:ascii="Verdana" w:hAnsi="Verdana"/>
                <w:sz w:val="20"/>
                <w:szCs w:val="20"/>
              </w:rPr>
              <w:t xml:space="preserve"> Travel </w:t>
            </w:r>
          </w:p>
        </w:tc>
        <w:tc>
          <w:tcPr>
            <w:tcW w:w="1558" w:type="dxa"/>
            <w:tcBorders>
              <w:top w:val="single" w:sz="4" w:space="0" w:color="FFFFFF" w:themeColor="background1"/>
            </w:tcBorders>
          </w:tcPr>
          <w:p w14:paraId="4CF248AE" w14:textId="039B7463" w:rsidR="003444C7" w:rsidRPr="006A5355" w:rsidRDefault="0071539B" w:rsidP="00C60415">
            <w:pPr>
              <w:jc w:val="both"/>
              <w:rPr>
                <w:rFonts w:ascii="Verdana" w:hAnsi="Verdana"/>
                <w:bCs/>
                <w:sz w:val="20"/>
                <w:szCs w:val="20"/>
              </w:rPr>
            </w:pPr>
            <w:r w:rsidRPr="006A5355">
              <w:rPr>
                <w:rFonts w:ascii="Verdana" w:hAnsi="Verdana"/>
                <w:bCs/>
                <w:sz w:val="20"/>
                <w:szCs w:val="20"/>
              </w:rPr>
              <w:t>TBC</w:t>
            </w:r>
          </w:p>
        </w:tc>
        <w:tc>
          <w:tcPr>
            <w:tcW w:w="6235" w:type="dxa"/>
            <w:tcBorders>
              <w:top w:val="single" w:sz="4" w:space="0" w:color="FFFFFF" w:themeColor="background1"/>
            </w:tcBorders>
          </w:tcPr>
          <w:p w14:paraId="05DB1641" w14:textId="129426D6" w:rsidR="003444C7" w:rsidRPr="00C60415" w:rsidRDefault="003444C7" w:rsidP="00C60415">
            <w:pPr>
              <w:jc w:val="both"/>
              <w:rPr>
                <w:rFonts w:ascii="Verdana" w:hAnsi="Verdana"/>
                <w:sz w:val="20"/>
                <w:szCs w:val="20"/>
              </w:rPr>
            </w:pPr>
            <w:r w:rsidRPr="00C60415">
              <w:rPr>
                <w:rFonts w:ascii="Verdana" w:hAnsi="Verdana"/>
                <w:sz w:val="20"/>
                <w:szCs w:val="20"/>
              </w:rPr>
              <w:t xml:space="preserve">Each project to cover their own travel  </w:t>
            </w:r>
          </w:p>
        </w:tc>
      </w:tr>
      <w:tr w:rsidR="003444C7" w:rsidRPr="00C60415" w14:paraId="08471A62" w14:textId="77777777" w:rsidTr="003444C7">
        <w:tc>
          <w:tcPr>
            <w:tcW w:w="1558" w:type="dxa"/>
          </w:tcPr>
          <w:p w14:paraId="4EDE2C8B" w14:textId="6C4BCDB2" w:rsidR="003444C7" w:rsidRPr="00C60415" w:rsidRDefault="003444C7" w:rsidP="00C60415">
            <w:pPr>
              <w:jc w:val="both"/>
              <w:rPr>
                <w:rFonts w:ascii="Verdana" w:hAnsi="Verdana"/>
                <w:sz w:val="20"/>
                <w:szCs w:val="20"/>
              </w:rPr>
            </w:pPr>
            <w:r w:rsidRPr="00C60415">
              <w:rPr>
                <w:rFonts w:ascii="Verdana" w:hAnsi="Verdana"/>
                <w:sz w:val="20"/>
                <w:szCs w:val="20"/>
              </w:rPr>
              <w:t>Venue</w:t>
            </w:r>
          </w:p>
        </w:tc>
        <w:tc>
          <w:tcPr>
            <w:tcW w:w="1558" w:type="dxa"/>
          </w:tcPr>
          <w:p w14:paraId="3C5FA8FD" w14:textId="610522A9" w:rsidR="003444C7" w:rsidRPr="006A5355" w:rsidRDefault="0071539B" w:rsidP="00C60415">
            <w:pPr>
              <w:jc w:val="both"/>
              <w:rPr>
                <w:rFonts w:ascii="Verdana" w:hAnsi="Verdana"/>
                <w:bCs/>
                <w:sz w:val="20"/>
                <w:szCs w:val="20"/>
              </w:rPr>
            </w:pPr>
            <w:r w:rsidRPr="006A5355">
              <w:rPr>
                <w:rFonts w:ascii="Verdana" w:hAnsi="Verdana"/>
                <w:bCs/>
                <w:sz w:val="20"/>
                <w:szCs w:val="20"/>
              </w:rPr>
              <w:t>100,000vt</w:t>
            </w:r>
          </w:p>
        </w:tc>
        <w:tc>
          <w:tcPr>
            <w:tcW w:w="6235" w:type="dxa"/>
          </w:tcPr>
          <w:p w14:paraId="3CE2B93E" w14:textId="5F6581B6" w:rsidR="003444C7" w:rsidRPr="00C60415" w:rsidRDefault="00823BBA" w:rsidP="00C60415">
            <w:pPr>
              <w:jc w:val="both"/>
              <w:rPr>
                <w:rFonts w:ascii="Verdana" w:hAnsi="Verdana"/>
                <w:sz w:val="20"/>
                <w:szCs w:val="20"/>
              </w:rPr>
            </w:pPr>
            <w:r>
              <w:rPr>
                <w:rFonts w:ascii="Verdana" w:hAnsi="Verdana"/>
                <w:sz w:val="20"/>
                <w:szCs w:val="20"/>
              </w:rPr>
              <w:t>GoV</w:t>
            </w:r>
          </w:p>
        </w:tc>
      </w:tr>
      <w:tr w:rsidR="003444C7" w:rsidRPr="00C60415" w14:paraId="3E1577E8" w14:textId="77777777" w:rsidTr="003444C7">
        <w:tc>
          <w:tcPr>
            <w:tcW w:w="1558" w:type="dxa"/>
          </w:tcPr>
          <w:p w14:paraId="2ACBE7D0" w14:textId="2F371FD2" w:rsidR="003444C7" w:rsidRPr="00C60415" w:rsidRDefault="003444C7" w:rsidP="00C60415">
            <w:pPr>
              <w:jc w:val="both"/>
              <w:rPr>
                <w:rFonts w:ascii="Verdana" w:hAnsi="Verdana"/>
                <w:sz w:val="20"/>
                <w:szCs w:val="20"/>
              </w:rPr>
            </w:pPr>
            <w:r w:rsidRPr="00C60415">
              <w:rPr>
                <w:rFonts w:ascii="Verdana" w:hAnsi="Verdana"/>
                <w:sz w:val="20"/>
                <w:szCs w:val="20"/>
              </w:rPr>
              <w:t>Equipment</w:t>
            </w:r>
          </w:p>
        </w:tc>
        <w:tc>
          <w:tcPr>
            <w:tcW w:w="1558" w:type="dxa"/>
          </w:tcPr>
          <w:p w14:paraId="6B88D19B" w14:textId="14B74AEF" w:rsidR="003444C7" w:rsidRPr="006A5355" w:rsidRDefault="007F5238" w:rsidP="00C60415">
            <w:pPr>
              <w:jc w:val="both"/>
              <w:rPr>
                <w:rFonts w:ascii="Verdana" w:hAnsi="Verdana"/>
                <w:bCs/>
                <w:sz w:val="20"/>
                <w:szCs w:val="20"/>
              </w:rPr>
            </w:pPr>
            <w:r>
              <w:rPr>
                <w:rFonts w:ascii="Verdana" w:hAnsi="Verdana"/>
                <w:bCs/>
                <w:sz w:val="20"/>
                <w:szCs w:val="20"/>
              </w:rPr>
              <w:t>15,000vt</w:t>
            </w:r>
          </w:p>
        </w:tc>
        <w:tc>
          <w:tcPr>
            <w:tcW w:w="6235" w:type="dxa"/>
          </w:tcPr>
          <w:p w14:paraId="7ADE063D" w14:textId="136AA3A6" w:rsidR="003444C7" w:rsidRPr="00C60415" w:rsidRDefault="00823BBA" w:rsidP="00C60415">
            <w:pPr>
              <w:jc w:val="both"/>
              <w:rPr>
                <w:rFonts w:ascii="Verdana" w:hAnsi="Verdana"/>
                <w:sz w:val="20"/>
                <w:szCs w:val="20"/>
              </w:rPr>
            </w:pPr>
            <w:r>
              <w:rPr>
                <w:rFonts w:ascii="Verdana" w:hAnsi="Verdana"/>
                <w:sz w:val="20"/>
                <w:szCs w:val="20"/>
              </w:rPr>
              <w:t>GoV</w:t>
            </w:r>
          </w:p>
        </w:tc>
      </w:tr>
      <w:tr w:rsidR="003444C7" w:rsidRPr="00C60415" w14:paraId="4882CF4E" w14:textId="77777777" w:rsidTr="003444C7">
        <w:tc>
          <w:tcPr>
            <w:tcW w:w="1558" w:type="dxa"/>
          </w:tcPr>
          <w:p w14:paraId="58A5DA65" w14:textId="34F02508" w:rsidR="003444C7" w:rsidRPr="00C60415" w:rsidRDefault="003444C7" w:rsidP="00C60415">
            <w:pPr>
              <w:jc w:val="both"/>
              <w:rPr>
                <w:rFonts w:ascii="Verdana" w:hAnsi="Verdana"/>
                <w:sz w:val="20"/>
                <w:szCs w:val="20"/>
              </w:rPr>
            </w:pPr>
            <w:r w:rsidRPr="00C60415">
              <w:rPr>
                <w:rFonts w:ascii="Verdana" w:hAnsi="Verdana"/>
                <w:sz w:val="20"/>
                <w:szCs w:val="20"/>
              </w:rPr>
              <w:t xml:space="preserve">Catering </w:t>
            </w:r>
          </w:p>
        </w:tc>
        <w:tc>
          <w:tcPr>
            <w:tcW w:w="1558" w:type="dxa"/>
          </w:tcPr>
          <w:p w14:paraId="6DB829BC" w14:textId="015B2080" w:rsidR="003444C7" w:rsidRPr="006A5355" w:rsidRDefault="0071539B" w:rsidP="00C60415">
            <w:pPr>
              <w:jc w:val="both"/>
              <w:rPr>
                <w:rFonts w:ascii="Verdana" w:hAnsi="Verdana"/>
                <w:bCs/>
                <w:sz w:val="20"/>
                <w:szCs w:val="20"/>
              </w:rPr>
            </w:pPr>
            <w:r>
              <w:rPr>
                <w:rFonts w:ascii="Verdana" w:hAnsi="Verdana"/>
                <w:bCs/>
                <w:sz w:val="20"/>
                <w:szCs w:val="20"/>
              </w:rPr>
              <w:t>300</w:t>
            </w:r>
            <w:r w:rsidRPr="006A5355">
              <w:rPr>
                <w:rFonts w:ascii="Verdana" w:hAnsi="Verdana"/>
                <w:bCs/>
                <w:sz w:val="20"/>
                <w:szCs w:val="20"/>
              </w:rPr>
              <w:t>,000</w:t>
            </w:r>
          </w:p>
        </w:tc>
        <w:tc>
          <w:tcPr>
            <w:tcW w:w="6235" w:type="dxa"/>
          </w:tcPr>
          <w:p w14:paraId="4D25F15B" w14:textId="04537FFC" w:rsidR="003444C7" w:rsidRPr="00C60415" w:rsidRDefault="00823BBA" w:rsidP="00C60415">
            <w:pPr>
              <w:jc w:val="both"/>
              <w:rPr>
                <w:rFonts w:ascii="Verdana" w:hAnsi="Verdana"/>
                <w:sz w:val="20"/>
                <w:szCs w:val="20"/>
              </w:rPr>
            </w:pPr>
            <w:r>
              <w:rPr>
                <w:rFonts w:ascii="Verdana" w:hAnsi="Verdana"/>
                <w:sz w:val="20"/>
                <w:szCs w:val="20"/>
              </w:rPr>
              <w:t>PCREEE</w:t>
            </w:r>
          </w:p>
        </w:tc>
      </w:tr>
      <w:tr w:rsidR="00EC3750" w:rsidRPr="00C60415" w14:paraId="3040026A" w14:textId="77777777" w:rsidTr="003444C7">
        <w:tc>
          <w:tcPr>
            <w:tcW w:w="1558" w:type="dxa"/>
          </w:tcPr>
          <w:p w14:paraId="7F4873C4" w14:textId="3DBCF666" w:rsidR="00EC3750" w:rsidRPr="00C60415" w:rsidRDefault="00EC3750" w:rsidP="00C60415">
            <w:pPr>
              <w:jc w:val="both"/>
              <w:rPr>
                <w:rFonts w:ascii="Verdana" w:hAnsi="Verdana"/>
                <w:sz w:val="20"/>
                <w:szCs w:val="20"/>
              </w:rPr>
            </w:pPr>
            <w:r>
              <w:rPr>
                <w:rFonts w:ascii="Verdana" w:hAnsi="Verdana"/>
                <w:sz w:val="20"/>
                <w:szCs w:val="20"/>
              </w:rPr>
              <w:t>R</w:t>
            </w:r>
            <w:r w:rsidR="00823BBA">
              <w:rPr>
                <w:rFonts w:ascii="Verdana" w:hAnsi="Verdana"/>
                <w:sz w:val="20"/>
                <w:szCs w:val="20"/>
              </w:rPr>
              <w:t>a</w:t>
            </w:r>
            <w:r>
              <w:rPr>
                <w:rFonts w:ascii="Verdana" w:hAnsi="Verdana"/>
                <w:sz w:val="20"/>
                <w:szCs w:val="20"/>
              </w:rPr>
              <w:t>dio Announcement</w:t>
            </w:r>
          </w:p>
        </w:tc>
        <w:tc>
          <w:tcPr>
            <w:tcW w:w="1558" w:type="dxa"/>
          </w:tcPr>
          <w:p w14:paraId="198E134D" w14:textId="3A5E32C3" w:rsidR="00EC3750" w:rsidRDefault="00EC3750" w:rsidP="00C60415">
            <w:pPr>
              <w:jc w:val="both"/>
              <w:rPr>
                <w:rFonts w:ascii="Verdana" w:hAnsi="Verdana"/>
                <w:bCs/>
                <w:sz w:val="20"/>
                <w:szCs w:val="20"/>
              </w:rPr>
            </w:pPr>
            <w:r>
              <w:rPr>
                <w:rFonts w:ascii="Verdana" w:hAnsi="Verdana"/>
                <w:bCs/>
                <w:sz w:val="20"/>
                <w:szCs w:val="20"/>
              </w:rPr>
              <w:t>TBC</w:t>
            </w:r>
          </w:p>
        </w:tc>
        <w:tc>
          <w:tcPr>
            <w:tcW w:w="6235" w:type="dxa"/>
          </w:tcPr>
          <w:p w14:paraId="7A87366E" w14:textId="32466330" w:rsidR="00EC3750" w:rsidRPr="00C60415" w:rsidRDefault="00823BBA" w:rsidP="00C60415">
            <w:pPr>
              <w:jc w:val="both"/>
              <w:rPr>
                <w:rFonts w:ascii="Verdana" w:hAnsi="Verdana"/>
                <w:sz w:val="20"/>
                <w:szCs w:val="20"/>
              </w:rPr>
            </w:pPr>
            <w:r>
              <w:rPr>
                <w:rFonts w:ascii="Verdana" w:hAnsi="Verdana"/>
                <w:sz w:val="20"/>
                <w:szCs w:val="20"/>
              </w:rPr>
              <w:t>GoV</w:t>
            </w:r>
          </w:p>
        </w:tc>
      </w:tr>
      <w:tr w:rsidR="00823BBA" w:rsidRPr="00C60415" w14:paraId="1B8823F9" w14:textId="77777777" w:rsidTr="003444C7">
        <w:tc>
          <w:tcPr>
            <w:tcW w:w="1558" w:type="dxa"/>
          </w:tcPr>
          <w:p w14:paraId="65220CDC" w14:textId="71951E16" w:rsidR="00823BBA" w:rsidRDefault="00823BBA" w:rsidP="00C60415">
            <w:pPr>
              <w:jc w:val="both"/>
              <w:rPr>
                <w:rFonts w:ascii="Verdana" w:hAnsi="Verdana"/>
                <w:sz w:val="20"/>
                <w:szCs w:val="20"/>
              </w:rPr>
            </w:pPr>
            <w:r>
              <w:rPr>
                <w:rFonts w:ascii="Verdana" w:hAnsi="Verdana"/>
                <w:sz w:val="20"/>
                <w:szCs w:val="20"/>
              </w:rPr>
              <w:t xml:space="preserve">School </w:t>
            </w:r>
            <w:r w:rsidRPr="00823BBA">
              <w:rPr>
                <w:rFonts w:ascii="Verdana" w:hAnsi="Verdana"/>
                <w:bCs/>
                <w:sz w:val="20"/>
                <w:szCs w:val="20"/>
              </w:rPr>
              <w:t>Prices</w:t>
            </w:r>
          </w:p>
        </w:tc>
        <w:tc>
          <w:tcPr>
            <w:tcW w:w="1558" w:type="dxa"/>
          </w:tcPr>
          <w:p w14:paraId="66543B79" w14:textId="2EFC8A81" w:rsidR="00823BBA" w:rsidRDefault="00823BBA" w:rsidP="00C60415">
            <w:pPr>
              <w:jc w:val="both"/>
              <w:rPr>
                <w:rFonts w:ascii="Verdana" w:hAnsi="Verdana"/>
                <w:bCs/>
                <w:sz w:val="20"/>
                <w:szCs w:val="20"/>
              </w:rPr>
            </w:pPr>
            <w:r>
              <w:rPr>
                <w:rFonts w:ascii="Verdana" w:hAnsi="Verdana"/>
                <w:bCs/>
                <w:sz w:val="20"/>
                <w:szCs w:val="20"/>
              </w:rPr>
              <w:t>100,000</w:t>
            </w:r>
          </w:p>
        </w:tc>
        <w:tc>
          <w:tcPr>
            <w:tcW w:w="6235" w:type="dxa"/>
          </w:tcPr>
          <w:p w14:paraId="487A6BD8" w14:textId="33F6245A" w:rsidR="00823BBA" w:rsidRDefault="00823BBA" w:rsidP="00C60415">
            <w:pPr>
              <w:jc w:val="both"/>
              <w:rPr>
                <w:rFonts w:ascii="Verdana" w:hAnsi="Verdana"/>
                <w:sz w:val="20"/>
                <w:szCs w:val="20"/>
              </w:rPr>
            </w:pPr>
            <w:r>
              <w:rPr>
                <w:rFonts w:ascii="Verdana" w:hAnsi="Verdana"/>
                <w:sz w:val="20"/>
                <w:szCs w:val="20"/>
              </w:rPr>
              <w:t>GoV</w:t>
            </w:r>
          </w:p>
        </w:tc>
      </w:tr>
    </w:tbl>
    <w:p w14:paraId="16095FD8" w14:textId="77777777" w:rsidR="00D73E16" w:rsidRPr="00C60415" w:rsidRDefault="00D73E16" w:rsidP="00C60415">
      <w:pPr>
        <w:jc w:val="both"/>
        <w:rPr>
          <w:rFonts w:ascii="Verdana" w:hAnsi="Verdana"/>
          <w:b/>
          <w:sz w:val="20"/>
          <w:szCs w:val="20"/>
        </w:rPr>
      </w:pPr>
    </w:p>
    <w:p w14:paraId="2DF16F3A" w14:textId="63269347" w:rsidR="00D73E16" w:rsidRPr="00C60415" w:rsidRDefault="00845E8E" w:rsidP="00C60415">
      <w:pPr>
        <w:pStyle w:val="ListParagraph"/>
        <w:numPr>
          <w:ilvl w:val="0"/>
          <w:numId w:val="1"/>
        </w:numPr>
        <w:jc w:val="both"/>
        <w:rPr>
          <w:rFonts w:ascii="Verdana" w:hAnsi="Verdana"/>
          <w:b/>
          <w:sz w:val="20"/>
          <w:szCs w:val="20"/>
        </w:rPr>
      </w:pPr>
      <w:r w:rsidRPr="00C60415">
        <w:rPr>
          <w:rFonts w:ascii="Verdana" w:hAnsi="Verdana"/>
          <w:b/>
          <w:sz w:val="20"/>
          <w:szCs w:val="20"/>
        </w:rPr>
        <w:t xml:space="preserve">Preparatory Works </w:t>
      </w:r>
    </w:p>
    <w:tbl>
      <w:tblPr>
        <w:tblStyle w:val="TableGrid"/>
        <w:tblW w:w="0" w:type="auto"/>
        <w:tblLook w:val="04A0" w:firstRow="1" w:lastRow="0" w:firstColumn="1" w:lastColumn="0" w:noHBand="0" w:noVBand="1"/>
      </w:tblPr>
      <w:tblGrid>
        <w:gridCol w:w="562"/>
        <w:gridCol w:w="3178"/>
        <w:gridCol w:w="1870"/>
        <w:gridCol w:w="1870"/>
        <w:gridCol w:w="1870"/>
      </w:tblGrid>
      <w:tr w:rsidR="00845E8E" w:rsidRPr="00C60415" w14:paraId="256D2721" w14:textId="77777777" w:rsidTr="00845E8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03A7E7D" w14:textId="77777777" w:rsidR="00845E8E" w:rsidRPr="00C60415" w:rsidRDefault="00845E8E" w:rsidP="00C60415">
            <w:pPr>
              <w:jc w:val="both"/>
              <w:rPr>
                <w:rFonts w:ascii="Verdana" w:hAnsi="Verdana"/>
                <w:b/>
                <w:color w:val="FFFFFF" w:themeColor="background1"/>
                <w:sz w:val="20"/>
                <w:szCs w:val="20"/>
              </w:rPr>
            </w:pP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F132274" w14:textId="5D6AB666"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 xml:space="preserve">Preparatory Activity </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C1D99F3" w14:textId="0B0CFB98"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Identified Leader</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6A7F764" w14:textId="3B51A5A5"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Completion Date</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44CA7166" w14:textId="3589EC4F"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Others</w:t>
            </w:r>
          </w:p>
        </w:tc>
      </w:tr>
      <w:tr w:rsidR="00845E8E" w:rsidRPr="00C60415" w14:paraId="27E3F39D" w14:textId="77777777" w:rsidTr="00845E8E">
        <w:tc>
          <w:tcPr>
            <w:tcW w:w="562" w:type="dxa"/>
            <w:tcBorders>
              <w:top w:val="single" w:sz="4" w:space="0" w:color="FFFFFF" w:themeColor="background1"/>
            </w:tcBorders>
          </w:tcPr>
          <w:p w14:paraId="6782E4FE" w14:textId="41EED0DA" w:rsidR="00845E8E" w:rsidRPr="00C60415" w:rsidRDefault="00C60415" w:rsidP="00C60415">
            <w:pPr>
              <w:jc w:val="both"/>
              <w:rPr>
                <w:rFonts w:ascii="Verdana" w:hAnsi="Verdana"/>
                <w:sz w:val="20"/>
                <w:szCs w:val="20"/>
              </w:rPr>
            </w:pPr>
            <w:r w:rsidRPr="00C60415">
              <w:rPr>
                <w:rFonts w:ascii="Verdana" w:hAnsi="Verdana"/>
                <w:sz w:val="20"/>
                <w:szCs w:val="20"/>
              </w:rPr>
              <w:t>1</w:t>
            </w:r>
          </w:p>
        </w:tc>
        <w:tc>
          <w:tcPr>
            <w:tcW w:w="3178" w:type="dxa"/>
            <w:tcBorders>
              <w:top w:val="single" w:sz="4" w:space="0" w:color="FFFFFF" w:themeColor="background1"/>
            </w:tcBorders>
          </w:tcPr>
          <w:p w14:paraId="2397D378" w14:textId="5CEF405B" w:rsidR="00845E8E" w:rsidRPr="00C60415" w:rsidRDefault="00845E8E" w:rsidP="00C60415">
            <w:pPr>
              <w:jc w:val="both"/>
              <w:rPr>
                <w:rFonts w:ascii="Verdana" w:hAnsi="Verdana"/>
                <w:sz w:val="20"/>
                <w:szCs w:val="20"/>
              </w:rPr>
            </w:pPr>
            <w:r w:rsidRPr="00C60415">
              <w:rPr>
                <w:rFonts w:ascii="Verdana" w:hAnsi="Verdana"/>
                <w:sz w:val="20"/>
                <w:szCs w:val="20"/>
              </w:rPr>
              <w:t>Update on the PA and the COP 2</w:t>
            </w:r>
            <w:r w:rsidR="00977B2C">
              <w:rPr>
                <w:rFonts w:ascii="Verdana" w:hAnsi="Verdana"/>
                <w:sz w:val="20"/>
                <w:szCs w:val="20"/>
              </w:rPr>
              <w:t>4</w:t>
            </w:r>
          </w:p>
        </w:tc>
        <w:tc>
          <w:tcPr>
            <w:tcW w:w="1870" w:type="dxa"/>
            <w:tcBorders>
              <w:top w:val="single" w:sz="4" w:space="0" w:color="FFFFFF" w:themeColor="background1"/>
            </w:tcBorders>
          </w:tcPr>
          <w:p w14:paraId="12986B5A" w14:textId="2BCDE153" w:rsidR="00845E8E" w:rsidRPr="00C60415" w:rsidRDefault="00A70C14" w:rsidP="00C60415">
            <w:pPr>
              <w:jc w:val="both"/>
              <w:rPr>
                <w:rFonts w:ascii="Verdana" w:hAnsi="Verdana"/>
                <w:sz w:val="20"/>
                <w:szCs w:val="20"/>
              </w:rPr>
            </w:pPr>
            <w:r>
              <w:rPr>
                <w:rFonts w:ascii="Verdana" w:hAnsi="Verdana"/>
                <w:sz w:val="20"/>
                <w:szCs w:val="20"/>
              </w:rPr>
              <w:t>Department of Climate Change (DoCC) and the National Advisory Board on Climate Change (NAB)</w:t>
            </w:r>
          </w:p>
        </w:tc>
        <w:tc>
          <w:tcPr>
            <w:tcW w:w="1870" w:type="dxa"/>
            <w:tcBorders>
              <w:top w:val="single" w:sz="4" w:space="0" w:color="FFFFFF" w:themeColor="background1"/>
            </w:tcBorders>
          </w:tcPr>
          <w:p w14:paraId="7C5B1D7B" w14:textId="5F562A3E" w:rsidR="00845E8E" w:rsidRPr="00C60415" w:rsidRDefault="00A70C14" w:rsidP="00C60415">
            <w:pPr>
              <w:jc w:val="both"/>
              <w:rPr>
                <w:rFonts w:ascii="Verdana" w:hAnsi="Verdana"/>
                <w:sz w:val="20"/>
                <w:szCs w:val="20"/>
              </w:rPr>
            </w:pPr>
            <w:r>
              <w:rPr>
                <w:rFonts w:ascii="Verdana" w:hAnsi="Verdana"/>
                <w:sz w:val="20"/>
                <w:szCs w:val="20"/>
              </w:rPr>
              <w:t xml:space="preserve">Mid-August </w:t>
            </w:r>
          </w:p>
        </w:tc>
        <w:tc>
          <w:tcPr>
            <w:tcW w:w="1870" w:type="dxa"/>
            <w:tcBorders>
              <w:top w:val="single" w:sz="4" w:space="0" w:color="FFFFFF" w:themeColor="background1"/>
            </w:tcBorders>
          </w:tcPr>
          <w:p w14:paraId="4E86E3F4" w14:textId="77777777" w:rsidR="00845E8E" w:rsidRPr="00C60415" w:rsidRDefault="00845E8E" w:rsidP="00C60415">
            <w:pPr>
              <w:jc w:val="both"/>
              <w:rPr>
                <w:rFonts w:ascii="Verdana" w:hAnsi="Verdana"/>
                <w:sz w:val="20"/>
                <w:szCs w:val="20"/>
              </w:rPr>
            </w:pPr>
          </w:p>
        </w:tc>
      </w:tr>
      <w:tr w:rsidR="00845E8E" w:rsidRPr="00C60415" w14:paraId="3E18F2D7" w14:textId="77777777" w:rsidTr="00845E8E">
        <w:tc>
          <w:tcPr>
            <w:tcW w:w="562" w:type="dxa"/>
          </w:tcPr>
          <w:p w14:paraId="6F059E0E" w14:textId="662F30E3" w:rsidR="00845E8E" w:rsidRPr="00C60415" w:rsidRDefault="00C60415" w:rsidP="00C60415">
            <w:pPr>
              <w:jc w:val="both"/>
              <w:rPr>
                <w:rFonts w:ascii="Verdana" w:hAnsi="Verdana"/>
                <w:sz w:val="20"/>
                <w:szCs w:val="20"/>
              </w:rPr>
            </w:pPr>
            <w:r w:rsidRPr="00C60415">
              <w:rPr>
                <w:rFonts w:ascii="Verdana" w:hAnsi="Verdana"/>
                <w:sz w:val="20"/>
                <w:szCs w:val="20"/>
              </w:rPr>
              <w:t>2</w:t>
            </w:r>
          </w:p>
        </w:tc>
        <w:tc>
          <w:tcPr>
            <w:tcW w:w="3178" w:type="dxa"/>
          </w:tcPr>
          <w:p w14:paraId="458D7EFD" w14:textId="6571CAFC" w:rsidR="00845E8E" w:rsidRPr="00C60415" w:rsidRDefault="00845E8E" w:rsidP="00C60415">
            <w:pPr>
              <w:jc w:val="both"/>
              <w:rPr>
                <w:rFonts w:ascii="Verdana" w:hAnsi="Verdana"/>
                <w:sz w:val="20"/>
                <w:szCs w:val="20"/>
              </w:rPr>
            </w:pPr>
            <w:r w:rsidRPr="00C60415">
              <w:rPr>
                <w:rFonts w:ascii="Verdana" w:hAnsi="Verdana"/>
                <w:sz w:val="20"/>
                <w:szCs w:val="20"/>
              </w:rPr>
              <w:t xml:space="preserve">Desktop review of the </w:t>
            </w:r>
            <w:r w:rsidR="00A70C14">
              <w:rPr>
                <w:rFonts w:ascii="Verdana" w:hAnsi="Verdana"/>
                <w:sz w:val="20"/>
                <w:szCs w:val="20"/>
              </w:rPr>
              <w:t>NERM</w:t>
            </w:r>
          </w:p>
        </w:tc>
        <w:tc>
          <w:tcPr>
            <w:tcW w:w="1870" w:type="dxa"/>
          </w:tcPr>
          <w:p w14:paraId="604D8C25" w14:textId="722D2CF0" w:rsidR="00845E8E" w:rsidRPr="00C60415" w:rsidRDefault="00A70C14" w:rsidP="00C60415">
            <w:pPr>
              <w:jc w:val="both"/>
              <w:rPr>
                <w:rFonts w:ascii="Verdana" w:hAnsi="Verdana"/>
                <w:sz w:val="20"/>
                <w:szCs w:val="20"/>
              </w:rPr>
            </w:pPr>
            <w:r>
              <w:rPr>
                <w:rFonts w:ascii="Verdana" w:hAnsi="Verdana"/>
                <w:sz w:val="20"/>
                <w:szCs w:val="20"/>
              </w:rPr>
              <w:t>DoE</w:t>
            </w:r>
          </w:p>
        </w:tc>
        <w:tc>
          <w:tcPr>
            <w:tcW w:w="1870" w:type="dxa"/>
          </w:tcPr>
          <w:p w14:paraId="1A065849" w14:textId="1769C11E" w:rsidR="00845E8E" w:rsidRPr="00C60415" w:rsidRDefault="00A70C14" w:rsidP="00C60415">
            <w:pPr>
              <w:jc w:val="both"/>
              <w:rPr>
                <w:rFonts w:ascii="Verdana" w:hAnsi="Verdana"/>
                <w:sz w:val="20"/>
                <w:szCs w:val="20"/>
              </w:rPr>
            </w:pPr>
            <w:r>
              <w:rPr>
                <w:rFonts w:ascii="Verdana" w:hAnsi="Verdana"/>
                <w:sz w:val="20"/>
                <w:szCs w:val="20"/>
              </w:rPr>
              <w:t>Mid-August</w:t>
            </w:r>
          </w:p>
        </w:tc>
        <w:tc>
          <w:tcPr>
            <w:tcW w:w="1870" w:type="dxa"/>
          </w:tcPr>
          <w:p w14:paraId="0075B121" w14:textId="77777777" w:rsidR="00845E8E" w:rsidRPr="00C60415" w:rsidRDefault="00845E8E" w:rsidP="00C60415">
            <w:pPr>
              <w:jc w:val="both"/>
              <w:rPr>
                <w:rFonts w:ascii="Verdana" w:hAnsi="Verdana"/>
                <w:sz w:val="20"/>
                <w:szCs w:val="20"/>
              </w:rPr>
            </w:pPr>
          </w:p>
        </w:tc>
      </w:tr>
      <w:tr w:rsidR="00845E8E" w:rsidRPr="00C60415" w14:paraId="2A9EDE19" w14:textId="77777777" w:rsidTr="00845E8E">
        <w:tc>
          <w:tcPr>
            <w:tcW w:w="562" w:type="dxa"/>
          </w:tcPr>
          <w:p w14:paraId="5E28F041" w14:textId="399D07C1" w:rsidR="00845E8E" w:rsidRPr="00C60415" w:rsidRDefault="00C60415" w:rsidP="00C60415">
            <w:pPr>
              <w:jc w:val="both"/>
              <w:rPr>
                <w:rFonts w:ascii="Verdana" w:hAnsi="Verdana"/>
                <w:sz w:val="20"/>
                <w:szCs w:val="20"/>
              </w:rPr>
            </w:pPr>
            <w:r w:rsidRPr="00C60415">
              <w:rPr>
                <w:rFonts w:ascii="Verdana" w:hAnsi="Verdana"/>
                <w:sz w:val="20"/>
                <w:szCs w:val="20"/>
              </w:rPr>
              <w:t>3</w:t>
            </w:r>
          </w:p>
        </w:tc>
        <w:tc>
          <w:tcPr>
            <w:tcW w:w="3178" w:type="dxa"/>
          </w:tcPr>
          <w:p w14:paraId="6395E439" w14:textId="6ACEA39E" w:rsidR="00845E8E" w:rsidRPr="00C60415" w:rsidRDefault="00A70C14" w:rsidP="00C60415">
            <w:pPr>
              <w:jc w:val="both"/>
              <w:rPr>
                <w:rFonts w:ascii="Verdana" w:hAnsi="Verdana"/>
                <w:sz w:val="20"/>
                <w:szCs w:val="20"/>
              </w:rPr>
            </w:pPr>
            <w:r>
              <w:rPr>
                <w:rFonts w:ascii="Verdana" w:hAnsi="Verdana"/>
                <w:sz w:val="20"/>
                <w:szCs w:val="20"/>
              </w:rPr>
              <w:t>Vanuatu’s</w:t>
            </w:r>
            <w:r w:rsidR="00845E8E" w:rsidRPr="00C60415">
              <w:rPr>
                <w:rFonts w:ascii="Verdana" w:hAnsi="Verdana"/>
                <w:sz w:val="20"/>
                <w:szCs w:val="20"/>
              </w:rPr>
              <w:t xml:space="preserve"> progress with the SDGs </w:t>
            </w:r>
          </w:p>
        </w:tc>
        <w:tc>
          <w:tcPr>
            <w:tcW w:w="1870" w:type="dxa"/>
          </w:tcPr>
          <w:p w14:paraId="08614D28" w14:textId="0D55B61B" w:rsidR="00845E8E" w:rsidRPr="00C60415" w:rsidRDefault="00A70C14" w:rsidP="00C60415">
            <w:pPr>
              <w:jc w:val="both"/>
              <w:rPr>
                <w:rFonts w:ascii="Verdana" w:hAnsi="Verdana"/>
                <w:sz w:val="20"/>
                <w:szCs w:val="20"/>
              </w:rPr>
            </w:pPr>
            <w:r>
              <w:rPr>
                <w:rFonts w:ascii="Verdana" w:hAnsi="Verdana"/>
                <w:sz w:val="20"/>
                <w:szCs w:val="20"/>
              </w:rPr>
              <w:t>DSPPAC</w:t>
            </w:r>
          </w:p>
        </w:tc>
        <w:tc>
          <w:tcPr>
            <w:tcW w:w="1870" w:type="dxa"/>
          </w:tcPr>
          <w:p w14:paraId="17D9A0F8" w14:textId="29426891" w:rsidR="00845E8E" w:rsidRPr="00C60415" w:rsidRDefault="00A70C14" w:rsidP="00C60415">
            <w:pPr>
              <w:jc w:val="both"/>
              <w:rPr>
                <w:rFonts w:ascii="Verdana" w:hAnsi="Verdana"/>
                <w:sz w:val="20"/>
                <w:szCs w:val="20"/>
              </w:rPr>
            </w:pPr>
            <w:r>
              <w:rPr>
                <w:rFonts w:ascii="Verdana" w:hAnsi="Verdana"/>
                <w:sz w:val="20"/>
                <w:szCs w:val="20"/>
              </w:rPr>
              <w:t>Mid-August</w:t>
            </w:r>
          </w:p>
        </w:tc>
        <w:tc>
          <w:tcPr>
            <w:tcW w:w="1870" w:type="dxa"/>
          </w:tcPr>
          <w:p w14:paraId="13010EBB" w14:textId="37965051" w:rsidR="00845E8E" w:rsidRPr="00C60415" w:rsidRDefault="00845E8E" w:rsidP="00C60415">
            <w:pPr>
              <w:jc w:val="both"/>
              <w:rPr>
                <w:rFonts w:ascii="Verdana" w:hAnsi="Verdana"/>
                <w:sz w:val="20"/>
                <w:szCs w:val="20"/>
              </w:rPr>
            </w:pPr>
          </w:p>
        </w:tc>
      </w:tr>
      <w:tr w:rsidR="00845E8E" w:rsidRPr="00C60415" w14:paraId="074AB7C7" w14:textId="77777777" w:rsidTr="00845E8E">
        <w:tc>
          <w:tcPr>
            <w:tcW w:w="562" w:type="dxa"/>
          </w:tcPr>
          <w:p w14:paraId="2BBB2778" w14:textId="67BB308F" w:rsidR="00845E8E" w:rsidRPr="00C60415" w:rsidRDefault="00C60415" w:rsidP="00C60415">
            <w:pPr>
              <w:jc w:val="both"/>
              <w:rPr>
                <w:rFonts w:ascii="Verdana" w:hAnsi="Verdana"/>
                <w:sz w:val="20"/>
                <w:szCs w:val="20"/>
              </w:rPr>
            </w:pPr>
            <w:r w:rsidRPr="00C60415">
              <w:rPr>
                <w:rFonts w:ascii="Verdana" w:hAnsi="Verdana"/>
                <w:sz w:val="20"/>
                <w:szCs w:val="20"/>
              </w:rPr>
              <w:t>4</w:t>
            </w:r>
          </w:p>
        </w:tc>
        <w:tc>
          <w:tcPr>
            <w:tcW w:w="3178" w:type="dxa"/>
          </w:tcPr>
          <w:p w14:paraId="45E5FDE3" w14:textId="45405E2E" w:rsidR="00845E8E" w:rsidRPr="00C60415" w:rsidRDefault="009A6ACB" w:rsidP="00C60415">
            <w:pPr>
              <w:jc w:val="both"/>
              <w:rPr>
                <w:rFonts w:ascii="Verdana" w:hAnsi="Verdana"/>
                <w:sz w:val="20"/>
                <w:szCs w:val="20"/>
              </w:rPr>
            </w:pPr>
            <w:r>
              <w:rPr>
                <w:rFonts w:ascii="Verdana" w:hAnsi="Verdana"/>
                <w:sz w:val="20"/>
                <w:szCs w:val="20"/>
              </w:rPr>
              <w:t>Contact workshop presenters from the productive sectors</w:t>
            </w:r>
          </w:p>
        </w:tc>
        <w:tc>
          <w:tcPr>
            <w:tcW w:w="1870" w:type="dxa"/>
          </w:tcPr>
          <w:p w14:paraId="2349B865" w14:textId="7049CF67" w:rsidR="00845E8E" w:rsidRPr="00C60415" w:rsidRDefault="009A6ACB" w:rsidP="00C60415">
            <w:pPr>
              <w:jc w:val="both"/>
              <w:rPr>
                <w:rFonts w:ascii="Verdana" w:hAnsi="Verdana"/>
                <w:sz w:val="20"/>
                <w:szCs w:val="20"/>
              </w:rPr>
            </w:pPr>
            <w:r>
              <w:rPr>
                <w:rFonts w:ascii="Verdana" w:hAnsi="Verdana"/>
                <w:sz w:val="20"/>
                <w:szCs w:val="20"/>
              </w:rPr>
              <w:t>DoE</w:t>
            </w:r>
            <w:r w:rsidR="00F23077">
              <w:rPr>
                <w:rFonts w:ascii="Verdana" w:hAnsi="Verdana"/>
                <w:sz w:val="20"/>
                <w:szCs w:val="20"/>
              </w:rPr>
              <w:t>/BRANTV</w:t>
            </w:r>
          </w:p>
        </w:tc>
        <w:tc>
          <w:tcPr>
            <w:tcW w:w="1870" w:type="dxa"/>
          </w:tcPr>
          <w:p w14:paraId="5E33C6BE" w14:textId="31BEAF69" w:rsidR="00845E8E" w:rsidRPr="00C60415" w:rsidRDefault="009A6ACB" w:rsidP="00C60415">
            <w:pPr>
              <w:jc w:val="both"/>
              <w:rPr>
                <w:rFonts w:ascii="Verdana" w:hAnsi="Verdana"/>
                <w:sz w:val="20"/>
                <w:szCs w:val="20"/>
              </w:rPr>
            </w:pPr>
            <w:r>
              <w:rPr>
                <w:rFonts w:ascii="Verdana" w:hAnsi="Verdana"/>
                <w:sz w:val="20"/>
                <w:szCs w:val="20"/>
              </w:rPr>
              <w:t>Mid-August</w:t>
            </w:r>
          </w:p>
        </w:tc>
        <w:tc>
          <w:tcPr>
            <w:tcW w:w="1870" w:type="dxa"/>
          </w:tcPr>
          <w:p w14:paraId="035C4EE1" w14:textId="77777777" w:rsidR="00845E8E" w:rsidRPr="00C60415" w:rsidRDefault="00845E8E" w:rsidP="00C60415">
            <w:pPr>
              <w:jc w:val="both"/>
              <w:rPr>
                <w:rFonts w:ascii="Verdana" w:hAnsi="Verdana"/>
                <w:sz w:val="20"/>
                <w:szCs w:val="20"/>
              </w:rPr>
            </w:pPr>
          </w:p>
        </w:tc>
      </w:tr>
      <w:tr w:rsidR="00845E8E" w:rsidRPr="00C60415" w14:paraId="40790328" w14:textId="77777777" w:rsidTr="00845E8E">
        <w:tc>
          <w:tcPr>
            <w:tcW w:w="562" w:type="dxa"/>
          </w:tcPr>
          <w:p w14:paraId="5878FCF2" w14:textId="15183A76" w:rsidR="00845E8E" w:rsidRPr="00C60415" w:rsidRDefault="00C60415" w:rsidP="00C60415">
            <w:pPr>
              <w:jc w:val="both"/>
              <w:rPr>
                <w:rFonts w:ascii="Verdana" w:hAnsi="Verdana"/>
                <w:sz w:val="20"/>
                <w:szCs w:val="20"/>
              </w:rPr>
            </w:pPr>
            <w:r w:rsidRPr="00C60415">
              <w:rPr>
                <w:rFonts w:ascii="Verdana" w:hAnsi="Verdana"/>
                <w:sz w:val="20"/>
                <w:szCs w:val="20"/>
              </w:rPr>
              <w:t>5</w:t>
            </w:r>
          </w:p>
        </w:tc>
        <w:tc>
          <w:tcPr>
            <w:tcW w:w="3178" w:type="dxa"/>
          </w:tcPr>
          <w:p w14:paraId="348CBDD6" w14:textId="733946C8" w:rsidR="00845E8E" w:rsidRPr="00C60415" w:rsidRDefault="00F23077" w:rsidP="00C60415">
            <w:pPr>
              <w:jc w:val="both"/>
              <w:rPr>
                <w:rFonts w:ascii="Verdana" w:hAnsi="Verdana"/>
                <w:sz w:val="20"/>
                <w:szCs w:val="20"/>
              </w:rPr>
            </w:pPr>
            <w:r>
              <w:rPr>
                <w:rFonts w:ascii="Verdana" w:hAnsi="Verdana"/>
                <w:sz w:val="20"/>
                <w:szCs w:val="20"/>
              </w:rPr>
              <w:t>Confirmation of logistics</w:t>
            </w:r>
          </w:p>
        </w:tc>
        <w:tc>
          <w:tcPr>
            <w:tcW w:w="1870" w:type="dxa"/>
          </w:tcPr>
          <w:p w14:paraId="165B8021" w14:textId="3AB9231F" w:rsidR="00845E8E" w:rsidRPr="00C60415" w:rsidRDefault="00F23077" w:rsidP="00C60415">
            <w:pPr>
              <w:jc w:val="both"/>
              <w:rPr>
                <w:rFonts w:ascii="Verdana" w:hAnsi="Verdana"/>
                <w:sz w:val="20"/>
                <w:szCs w:val="20"/>
              </w:rPr>
            </w:pPr>
            <w:r>
              <w:rPr>
                <w:rFonts w:ascii="Verdana" w:hAnsi="Verdana"/>
                <w:sz w:val="20"/>
                <w:szCs w:val="20"/>
              </w:rPr>
              <w:t>PCREEE/DoE</w:t>
            </w:r>
          </w:p>
        </w:tc>
        <w:tc>
          <w:tcPr>
            <w:tcW w:w="1870" w:type="dxa"/>
          </w:tcPr>
          <w:p w14:paraId="4F4F2D1B" w14:textId="4625478D" w:rsidR="00845E8E" w:rsidRPr="00C60415" w:rsidRDefault="00F23077" w:rsidP="00C60415">
            <w:pPr>
              <w:jc w:val="both"/>
              <w:rPr>
                <w:rFonts w:ascii="Verdana" w:hAnsi="Verdana"/>
                <w:sz w:val="20"/>
                <w:szCs w:val="20"/>
              </w:rPr>
            </w:pPr>
            <w:r>
              <w:rPr>
                <w:rFonts w:ascii="Verdana" w:hAnsi="Verdana"/>
                <w:sz w:val="20"/>
                <w:szCs w:val="20"/>
              </w:rPr>
              <w:t>3</w:t>
            </w:r>
            <w:r w:rsidRPr="00F0016E">
              <w:rPr>
                <w:rFonts w:ascii="Verdana" w:hAnsi="Verdana"/>
                <w:sz w:val="20"/>
                <w:szCs w:val="20"/>
                <w:vertAlign w:val="superscript"/>
              </w:rPr>
              <w:t>rd</w:t>
            </w:r>
            <w:r>
              <w:rPr>
                <w:rFonts w:ascii="Verdana" w:hAnsi="Verdana"/>
                <w:sz w:val="20"/>
                <w:szCs w:val="20"/>
              </w:rPr>
              <w:t xml:space="preserve"> week of August</w:t>
            </w:r>
          </w:p>
        </w:tc>
        <w:tc>
          <w:tcPr>
            <w:tcW w:w="1870" w:type="dxa"/>
          </w:tcPr>
          <w:p w14:paraId="2B824AB6" w14:textId="77777777" w:rsidR="00845E8E" w:rsidRPr="00C60415" w:rsidRDefault="00845E8E" w:rsidP="00C60415">
            <w:pPr>
              <w:jc w:val="both"/>
              <w:rPr>
                <w:rFonts w:ascii="Verdana" w:hAnsi="Verdana"/>
                <w:sz w:val="20"/>
                <w:szCs w:val="20"/>
              </w:rPr>
            </w:pPr>
          </w:p>
        </w:tc>
      </w:tr>
    </w:tbl>
    <w:p w14:paraId="5120D57A" w14:textId="77777777" w:rsidR="00845E8E" w:rsidRPr="00C60415" w:rsidRDefault="00845E8E" w:rsidP="00C60415">
      <w:pPr>
        <w:jc w:val="both"/>
        <w:rPr>
          <w:rFonts w:ascii="Verdana" w:hAnsi="Verdana"/>
          <w:b/>
          <w:sz w:val="20"/>
          <w:szCs w:val="20"/>
        </w:rPr>
      </w:pPr>
    </w:p>
    <w:p w14:paraId="7608B438" w14:textId="4D85C193" w:rsidR="00D73E16" w:rsidRPr="00C60415" w:rsidRDefault="00D73E16" w:rsidP="00C60415">
      <w:pPr>
        <w:jc w:val="both"/>
        <w:rPr>
          <w:rFonts w:ascii="Verdana" w:hAnsi="Verdana"/>
          <w:b/>
          <w:sz w:val="20"/>
          <w:szCs w:val="20"/>
        </w:rPr>
      </w:pPr>
    </w:p>
    <w:p w14:paraId="246DA1A5" w14:textId="13A824AB" w:rsidR="004313C0" w:rsidRPr="00C60415" w:rsidRDefault="006860D3" w:rsidP="00C60415">
      <w:pPr>
        <w:jc w:val="both"/>
        <w:rPr>
          <w:rFonts w:ascii="Verdana" w:hAnsi="Verdana"/>
          <w:b/>
          <w:sz w:val="20"/>
          <w:szCs w:val="20"/>
        </w:rPr>
      </w:pPr>
      <w:r w:rsidRPr="00C60415">
        <w:rPr>
          <w:rFonts w:ascii="Verdana" w:hAnsi="Verdana"/>
          <w:b/>
          <w:sz w:val="20"/>
          <w:szCs w:val="20"/>
        </w:rPr>
        <w:lastRenderedPageBreak/>
        <w:t>END</w:t>
      </w:r>
    </w:p>
    <w:sectPr w:rsidR="004313C0" w:rsidRPr="00C60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0BD7" w14:textId="77777777" w:rsidR="005D4A42" w:rsidRDefault="005D4A42" w:rsidP="00FB147C">
      <w:pPr>
        <w:spacing w:after="0" w:line="240" w:lineRule="auto"/>
      </w:pPr>
      <w:r>
        <w:separator/>
      </w:r>
    </w:p>
  </w:endnote>
  <w:endnote w:type="continuationSeparator" w:id="0">
    <w:p w14:paraId="5A66B3CF" w14:textId="77777777" w:rsidR="005D4A42" w:rsidRDefault="005D4A42"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MinionPro-Regular">
    <w:altName w:val="Minion Pro"/>
    <w:panose1 w:val="00000000000000000000"/>
    <w:charset w:val="00"/>
    <w:family w:val="roman"/>
    <w:notTrueType/>
    <w:pitch w:val="default"/>
    <w:sig w:usb0="00000003" w:usb1="00000000" w:usb2="00000000" w:usb3="00000000" w:csb0="00000001" w:csb1="00000000"/>
  </w:font>
  <w:font w:name="MinionPro-BoldI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2102"/>
      <w:docPartObj>
        <w:docPartGallery w:val="Page Numbers (Bottom of Page)"/>
        <w:docPartUnique/>
      </w:docPartObj>
    </w:sdtPr>
    <w:sdtEndPr>
      <w:rPr>
        <w:noProof/>
      </w:rPr>
    </w:sdtEndPr>
    <w:sdtContent>
      <w:p w14:paraId="24015663" w14:textId="555B9CF7" w:rsidR="00A41C4E" w:rsidRDefault="00A41C4E">
        <w:pPr>
          <w:pStyle w:val="Footer"/>
          <w:jc w:val="center"/>
        </w:pPr>
        <w:r w:rsidRPr="003C4A7F">
          <w:rPr>
            <w:sz w:val="16"/>
            <w:szCs w:val="16"/>
          </w:rPr>
          <w:fldChar w:fldCharType="begin"/>
        </w:r>
        <w:r w:rsidRPr="003C4A7F">
          <w:rPr>
            <w:sz w:val="16"/>
            <w:szCs w:val="16"/>
          </w:rPr>
          <w:instrText xml:space="preserve"> PAGE   \* MERGEFORMAT </w:instrText>
        </w:r>
        <w:r w:rsidRPr="003C4A7F">
          <w:rPr>
            <w:sz w:val="16"/>
            <w:szCs w:val="16"/>
          </w:rPr>
          <w:fldChar w:fldCharType="separate"/>
        </w:r>
        <w:r w:rsidR="00DB4FDF">
          <w:rPr>
            <w:noProof/>
            <w:sz w:val="16"/>
            <w:szCs w:val="16"/>
          </w:rPr>
          <w:t>5</w:t>
        </w:r>
        <w:r w:rsidRPr="003C4A7F">
          <w:rPr>
            <w:noProof/>
            <w:sz w:val="16"/>
            <w:szCs w:val="16"/>
          </w:rPr>
          <w:fldChar w:fldCharType="end"/>
        </w:r>
        <w:r>
          <w:rPr>
            <w:noProof/>
            <w:sz w:val="16"/>
            <w:szCs w:val="16"/>
          </w:rPr>
          <w:t>.</w:t>
        </w:r>
      </w:p>
    </w:sdtContent>
  </w:sdt>
  <w:p w14:paraId="36ABAEA3" w14:textId="77777777" w:rsidR="00A41C4E" w:rsidRDefault="00A4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12A1" w14:textId="77777777" w:rsidR="005D4A42" w:rsidRDefault="005D4A42" w:rsidP="00FB147C">
      <w:pPr>
        <w:spacing w:after="0" w:line="240" w:lineRule="auto"/>
      </w:pPr>
      <w:r>
        <w:separator/>
      </w:r>
    </w:p>
  </w:footnote>
  <w:footnote w:type="continuationSeparator" w:id="0">
    <w:p w14:paraId="2A220712" w14:textId="77777777" w:rsidR="005D4A42" w:rsidRDefault="005D4A42" w:rsidP="00F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16"/>
      <w:gridCol w:w="3336"/>
      <w:gridCol w:w="2998"/>
    </w:tblGrid>
    <w:tr w:rsidR="00D05D77" w14:paraId="41441D67" w14:textId="77777777" w:rsidTr="00D920D7">
      <w:tc>
        <w:tcPr>
          <w:tcW w:w="3116" w:type="dxa"/>
          <w:vAlign w:val="center"/>
        </w:tcPr>
        <w:p w14:paraId="40D5FD67" w14:textId="7470CEBB" w:rsidR="00863560" w:rsidRDefault="00863560">
          <w:pPr>
            <w:pStyle w:val="Header"/>
          </w:pPr>
          <w:r w:rsidRPr="00863560">
            <w:rPr>
              <w:noProof/>
              <w:lang w:val="en-AU" w:eastAsia="en-AU"/>
            </w:rPr>
            <w:drawing>
              <wp:inline distT="0" distB="0" distL="0" distR="0" wp14:anchorId="181FC2F6" wp14:editId="7611ED67">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6C6722BF" w14:textId="4DB89EF4" w:rsidR="00863560" w:rsidRDefault="00D05D77">
          <w:pPr>
            <w:pStyle w:val="Header"/>
          </w:pPr>
          <w:r>
            <w:rPr>
              <w:noProof/>
              <w:lang w:val="en-AU" w:eastAsia="en-AU"/>
            </w:rPr>
            <w:drawing>
              <wp:inline distT="0" distB="0" distL="0" distR="0" wp14:anchorId="341BD999" wp14:editId="7A931319">
                <wp:extent cx="19716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a:ln>
                          <a:noFill/>
                        </a:ln>
                      </pic:spPr>
                    </pic:pic>
                  </a:graphicData>
                </a:graphic>
              </wp:inline>
            </w:drawing>
          </w:r>
        </w:p>
      </w:tc>
      <w:tc>
        <w:tcPr>
          <w:tcW w:w="3117" w:type="dxa"/>
          <w:vAlign w:val="center"/>
        </w:tcPr>
        <w:p w14:paraId="4BACDA6B" w14:textId="14B421CC" w:rsidR="00863560" w:rsidRDefault="00863560" w:rsidP="00863560">
          <w:pPr>
            <w:pStyle w:val="Header"/>
            <w:jc w:val="center"/>
          </w:pPr>
          <w:r>
            <w:rPr>
              <w:noProof/>
              <w:lang w:val="en-AU" w:eastAsia="en-AU"/>
            </w:rPr>
            <w:drawing>
              <wp:inline distT="0" distB="0" distL="0" distR="0" wp14:anchorId="5D81564A" wp14:editId="3C059639">
                <wp:extent cx="1603844" cy="461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23699" cy="467681"/>
                        </a:xfrm>
                        <a:prstGeom prst="rect">
                          <a:avLst/>
                        </a:prstGeom>
                      </pic:spPr>
                    </pic:pic>
                  </a:graphicData>
                </a:graphic>
              </wp:inline>
            </w:drawing>
          </w:r>
        </w:p>
      </w:tc>
    </w:tr>
  </w:tbl>
  <w:p w14:paraId="14E2505A" w14:textId="77777777" w:rsidR="00863560" w:rsidRDefault="0086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825"/>
    <w:multiLevelType w:val="hybridMultilevel"/>
    <w:tmpl w:val="6CBA77BA"/>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1172317"/>
    <w:multiLevelType w:val="hybridMultilevel"/>
    <w:tmpl w:val="E7C05CD2"/>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9A27B4"/>
    <w:multiLevelType w:val="hybridMultilevel"/>
    <w:tmpl w:val="D8409358"/>
    <w:lvl w:ilvl="0" w:tplc="0C090013">
      <w:start w:val="1"/>
      <w:numFmt w:val="upp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53D12F7C"/>
    <w:multiLevelType w:val="hybridMultilevel"/>
    <w:tmpl w:val="ADC265C2"/>
    <w:lvl w:ilvl="0" w:tplc="9AD42130">
      <w:start w:val="1"/>
      <w:numFmt w:val="lowerRoman"/>
      <w:lvlText w:val="%1)"/>
      <w:lvlJc w:val="left"/>
      <w:pPr>
        <w:ind w:left="1440" w:hanging="360"/>
      </w:pPr>
      <w:rPr>
        <w:rFonts w:hint="default"/>
        <w:b w:val="0"/>
        <w:sz w:val="20"/>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5" w15:restartNumberingAfterBreak="0">
    <w:nsid w:val="6B3D40C7"/>
    <w:multiLevelType w:val="hybridMultilevel"/>
    <w:tmpl w:val="82464E8E"/>
    <w:lvl w:ilvl="0" w:tplc="9AD42130">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951A8D"/>
    <w:multiLevelType w:val="hybridMultilevel"/>
    <w:tmpl w:val="96B06CB2"/>
    <w:lvl w:ilvl="0" w:tplc="85E4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B7D92"/>
    <w:multiLevelType w:val="hybridMultilevel"/>
    <w:tmpl w:val="31BC662A"/>
    <w:lvl w:ilvl="0" w:tplc="9AD42130">
      <w:start w:val="1"/>
      <w:numFmt w:val="lowerRoman"/>
      <w:lvlText w:val="%1)"/>
      <w:lvlJc w:val="left"/>
      <w:pPr>
        <w:ind w:left="720" w:hanging="360"/>
      </w:pPr>
      <w:rPr>
        <w:rFonts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MTI0NzA2NjcxMTdV0lEKTi0uzszPAykwrQUAtjwZHywAAAA="/>
  </w:docVars>
  <w:rsids>
    <w:rsidRoot w:val="00B5018B"/>
    <w:rsid w:val="000101D3"/>
    <w:rsid w:val="0001063E"/>
    <w:rsid w:val="00014AA1"/>
    <w:rsid w:val="00015909"/>
    <w:rsid w:val="000275B8"/>
    <w:rsid w:val="00030A8E"/>
    <w:rsid w:val="000334CA"/>
    <w:rsid w:val="0003702E"/>
    <w:rsid w:val="000442B2"/>
    <w:rsid w:val="000525BC"/>
    <w:rsid w:val="00055455"/>
    <w:rsid w:val="00065354"/>
    <w:rsid w:val="00072250"/>
    <w:rsid w:val="00083A1D"/>
    <w:rsid w:val="000853FF"/>
    <w:rsid w:val="00085CAF"/>
    <w:rsid w:val="00086243"/>
    <w:rsid w:val="0009356F"/>
    <w:rsid w:val="000A60BC"/>
    <w:rsid w:val="000B128D"/>
    <w:rsid w:val="000B1DD5"/>
    <w:rsid w:val="000B465C"/>
    <w:rsid w:val="000C3031"/>
    <w:rsid w:val="000D3C5A"/>
    <w:rsid w:val="000D44C4"/>
    <w:rsid w:val="000E60C7"/>
    <w:rsid w:val="000F323C"/>
    <w:rsid w:val="000F3F27"/>
    <w:rsid w:val="001037A4"/>
    <w:rsid w:val="00115FF0"/>
    <w:rsid w:val="00121187"/>
    <w:rsid w:val="00124E8E"/>
    <w:rsid w:val="001265B0"/>
    <w:rsid w:val="00133DF0"/>
    <w:rsid w:val="00142734"/>
    <w:rsid w:val="00151DA7"/>
    <w:rsid w:val="00160253"/>
    <w:rsid w:val="00160973"/>
    <w:rsid w:val="001A22C1"/>
    <w:rsid w:val="001B5E77"/>
    <w:rsid w:val="001B6E3F"/>
    <w:rsid w:val="001C0AE4"/>
    <w:rsid w:val="001C3358"/>
    <w:rsid w:val="001D5862"/>
    <w:rsid w:val="00200BDA"/>
    <w:rsid w:val="002112CB"/>
    <w:rsid w:val="0022714D"/>
    <w:rsid w:val="002336C2"/>
    <w:rsid w:val="002345A1"/>
    <w:rsid w:val="00235261"/>
    <w:rsid w:val="002357B9"/>
    <w:rsid w:val="00236222"/>
    <w:rsid w:val="00242B81"/>
    <w:rsid w:val="00244035"/>
    <w:rsid w:val="0024552C"/>
    <w:rsid w:val="002575F9"/>
    <w:rsid w:val="00267F40"/>
    <w:rsid w:val="00274B14"/>
    <w:rsid w:val="00276331"/>
    <w:rsid w:val="00286B5F"/>
    <w:rsid w:val="002978CB"/>
    <w:rsid w:val="002D53C5"/>
    <w:rsid w:val="002E0A4B"/>
    <w:rsid w:val="002E2253"/>
    <w:rsid w:val="002E7A0D"/>
    <w:rsid w:val="002F218A"/>
    <w:rsid w:val="002F3D3B"/>
    <w:rsid w:val="002F42AC"/>
    <w:rsid w:val="003257F0"/>
    <w:rsid w:val="00330A03"/>
    <w:rsid w:val="00332C7F"/>
    <w:rsid w:val="00332DA2"/>
    <w:rsid w:val="00336FD0"/>
    <w:rsid w:val="003375CF"/>
    <w:rsid w:val="003444C7"/>
    <w:rsid w:val="00347481"/>
    <w:rsid w:val="003502DB"/>
    <w:rsid w:val="00351B1C"/>
    <w:rsid w:val="003732CC"/>
    <w:rsid w:val="003830A3"/>
    <w:rsid w:val="00390798"/>
    <w:rsid w:val="003A1180"/>
    <w:rsid w:val="003A1DC4"/>
    <w:rsid w:val="003A5885"/>
    <w:rsid w:val="003A5937"/>
    <w:rsid w:val="003B0045"/>
    <w:rsid w:val="003B31B8"/>
    <w:rsid w:val="003C2D69"/>
    <w:rsid w:val="003C39EF"/>
    <w:rsid w:val="003C4A7F"/>
    <w:rsid w:val="003C66D8"/>
    <w:rsid w:val="003C7770"/>
    <w:rsid w:val="003D471F"/>
    <w:rsid w:val="003E7E8B"/>
    <w:rsid w:val="003F3EDB"/>
    <w:rsid w:val="003F449E"/>
    <w:rsid w:val="003F7826"/>
    <w:rsid w:val="003F7EC1"/>
    <w:rsid w:val="00411CDE"/>
    <w:rsid w:val="00413B50"/>
    <w:rsid w:val="00423D36"/>
    <w:rsid w:val="00424589"/>
    <w:rsid w:val="004313C0"/>
    <w:rsid w:val="00450366"/>
    <w:rsid w:val="00451DD0"/>
    <w:rsid w:val="00456385"/>
    <w:rsid w:val="00456BE5"/>
    <w:rsid w:val="00462FE2"/>
    <w:rsid w:val="0047319C"/>
    <w:rsid w:val="00480C3C"/>
    <w:rsid w:val="00491486"/>
    <w:rsid w:val="00495073"/>
    <w:rsid w:val="004A069E"/>
    <w:rsid w:val="004A19A0"/>
    <w:rsid w:val="004A309C"/>
    <w:rsid w:val="004B1154"/>
    <w:rsid w:val="004B1BD8"/>
    <w:rsid w:val="004C2A13"/>
    <w:rsid w:val="004D4D40"/>
    <w:rsid w:val="004E03B9"/>
    <w:rsid w:val="00500E7A"/>
    <w:rsid w:val="00501A29"/>
    <w:rsid w:val="00501B7F"/>
    <w:rsid w:val="00501ED5"/>
    <w:rsid w:val="00503880"/>
    <w:rsid w:val="00504517"/>
    <w:rsid w:val="0050522F"/>
    <w:rsid w:val="005077B2"/>
    <w:rsid w:val="00511520"/>
    <w:rsid w:val="00512117"/>
    <w:rsid w:val="005212E8"/>
    <w:rsid w:val="0052241D"/>
    <w:rsid w:val="005228EE"/>
    <w:rsid w:val="0054101C"/>
    <w:rsid w:val="00547894"/>
    <w:rsid w:val="0058525F"/>
    <w:rsid w:val="00586C00"/>
    <w:rsid w:val="005900F7"/>
    <w:rsid w:val="0059262E"/>
    <w:rsid w:val="005A1E42"/>
    <w:rsid w:val="005A52AE"/>
    <w:rsid w:val="005B226B"/>
    <w:rsid w:val="005B3815"/>
    <w:rsid w:val="005C169F"/>
    <w:rsid w:val="005C6CC9"/>
    <w:rsid w:val="005D4A42"/>
    <w:rsid w:val="005D51B5"/>
    <w:rsid w:val="005E12D5"/>
    <w:rsid w:val="005F0831"/>
    <w:rsid w:val="005F1434"/>
    <w:rsid w:val="005F662D"/>
    <w:rsid w:val="0062260F"/>
    <w:rsid w:val="00632D0A"/>
    <w:rsid w:val="0063573A"/>
    <w:rsid w:val="00665383"/>
    <w:rsid w:val="006822BF"/>
    <w:rsid w:val="006838B8"/>
    <w:rsid w:val="0068548D"/>
    <w:rsid w:val="006860D3"/>
    <w:rsid w:val="006A50DB"/>
    <w:rsid w:val="006A5355"/>
    <w:rsid w:val="006A5D56"/>
    <w:rsid w:val="006B0337"/>
    <w:rsid w:val="006B5BA4"/>
    <w:rsid w:val="006C1367"/>
    <w:rsid w:val="006C6A71"/>
    <w:rsid w:val="006F20B9"/>
    <w:rsid w:val="006F2799"/>
    <w:rsid w:val="00700E35"/>
    <w:rsid w:val="00705EC0"/>
    <w:rsid w:val="007063B8"/>
    <w:rsid w:val="00711D57"/>
    <w:rsid w:val="00711EF5"/>
    <w:rsid w:val="0071539B"/>
    <w:rsid w:val="00716A73"/>
    <w:rsid w:val="00722EFF"/>
    <w:rsid w:val="007233B9"/>
    <w:rsid w:val="0072406F"/>
    <w:rsid w:val="00733F11"/>
    <w:rsid w:val="00735EED"/>
    <w:rsid w:val="007427FA"/>
    <w:rsid w:val="00744523"/>
    <w:rsid w:val="00745953"/>
    <w:rsid w:val="00750B25"/>
    <w:rsid w:val="00754436"/>
    <w:rsid w:val="00765148"/>
    <w:rsid w:val="00771084"/>
    <w:rsid w:val="007722BD"/>
    <w:rsid w:val="00774A22"/>
    <w:rsid w:val="00777B28"/>
    <w:rsid w:val="00782536"/>
    <w:rsid w:val="007950E4"/>
    <w:rsid w:val="007A2EBA"/>
    <w:rsid w:val="007C1D37"/>
    <w:rsid w:val="007C2F3B"/>
    <w:rsid w:val="007C499C"/>
    <w:rsid w:val="007D661C"/>
    <w:rsid w:val="007F5238"/>
    <w:rsid w:val="00804231"/>
    <w:rsid w:val="0080525D"/>
    <w:rsid w:val="00823BBA"/>
    <w:rsid w:val="0082672A"/>
    <w:rsid w:val="00840735"/>
    <w:rsid w:val="00840F86"/>
    <w:rsid w:val="00845E8E"/>
    <w:rsid w:val="00847475"/>
    <w:rsid w:val="00847800"/>
    <w:rsid w:val="008574F3"/>
    <w:rsid w:val="008603EE"/>
    <w:rsid w:val="00863560"/>
    <w:rsid w:val="00870F6E"/>
    <w:rsid w:val="00872BDE"/>
    <w:rsid w:val="00873B2A"/>
    <w:rsid w:val="008775C1"/>
    <w:rsid w:val="00882029"/>
    <w:rsid w:val="0089216F"/>
    <w:rsid w:val="008935D4"/>
    <w:rsid w:val="008E4B78"/>
    <w:rsid w:val="008F064F"/>
    <w:rsid w:val="008F5684"/>
    <w:rsid w:val="009210AF"/>
    <w:rsid w:val="0096644B"/>
    <w:rsid w:val="00971CC2"/>
    <w:rsid w:val="00977B2C"/>
    <w:rsid w:val="009846E4"/>
    <w:rsid w:val="00985029"/>
    <w:rsid w:val="00994478"/>
    <w:rsid w:val="009A6ACB"/>
    <w:rsid w:val="009B2B30"/>
    <w:rsid w:val="009B508F"/>
    <w:rsid w:val="009C1CCE"/>
    <w:rsid w:val="009D2526"/>
    <w:rsid w:val="009D301D"/>
    <w:rsid w:val="009D404A"/>
    <w:rsid w:val="009D7AAC"/>
    <w:rsid w:val="009E3326"/>
    <w:rsid w:val="009E54E5"/>
    <w:rsid w:val="009F294C"/>
    <w:rsid w:val="00A04911"/>
    <w:rsid w:val="00A25CEF"/>
    <w:rsid w:val="00A26F4F"/>
    <w:rsid w:val="00A319D6"/>
    <w:rsid w:val="00A35224"/>
    <w:rsid w:val="00A41C4E"/>
    <w:rsid w:val="00A43556"/>
    <w:rsid w:val="00A43AF7"/>
    <w:rsid w:val="00A44665"/>
    <w:rsid w:val="00A55733"/>
    <w:rsid w:val="00A6127B"/>
    <w:rsid w:val="00A65CED"/>
    <w:rsid w:val="00A70C14"/>
    <w:rsid w:val="00AA600A"/>
    <w:rsid w:val="00AA7BB9"/>
    <w:rsid w:val="00AB09CA"/>
    <w:rsid w:val="00AB0C78"/>
    <w:rsid w:val="00AB664F"/>
    <w:rsid w:val="00AC63E6"/>
    <w:rsid w:val="00AD3347"/>
    <w:rsid w:val="00AD63DA"/>
    <w:rsid w:val="00AE1E7E"/>
    <w:rsid w:val="00AE31FF"/>
    <w:rsid w:val="00AE36B7"/>
    <w:rsid w:val="00AE3E05"/>
    <w:rsid w:val="00AF77C1"/>
    <w:rsid w:val="00AF7D2A"/>
    <w:rsid w:val="00B05D62"/>
    <w:rsid w:val="00B103A8"/>
    <w:rsid w:val="00B27ABD"/>
    <w:rsid w:val="00B44087"/>
    <w:rsid w:val="00B5018B"/>
    <w:rsid w:val="00B87DD1"/>
    <w:rsid w:val="00BA17BA"/>
    <w:rsid w:val="00BA3202"/>
    <w:rsid w:val="00BB0B84"/>
    <w:rsid w:val="00BD22E6"/>
    <w:rsid w:val="00BD4320"/>
    <w:rsid w:val="00BF1F46"/>
    <w:rsid w:val="00C04D19"/>
    <w:rsid w:val="00C058C0"/>
    <w:rsid w:val="00C07856"/>
    <w:rsid w:val="00C11AFC"/>
    <w:rsid w:val="00C12934"/>
    <w:rsid w:val="00C204E7"/>
    <w:rsid w:val="00C20CBD"/>
    <w:rsid w:val="00C2444A"/>
    <w:rsid w:val="00C3169D"/>
    <w:rsid w:val="00C35004"/>
    <w:rsid w:val="00C35CF9"/>
    <w:rsid w:val="00C550A2"/>
    <w:rsid w:val="00C60415"/>
    <w:rsid w:val="00C71B4A"/>
    <w:rsid w:val="00C8485F"/>
    <w:rsid w:val="00C8704A"/>
    <w:rsid w:val="00C91EBF"/>
    <w:rsid w:val="00CC267B"/>
    <w:rsid w:val="00CC3915"/>
    <w:rsid w:val="00CD5381"/>
    <w:rsid w:val="00CF55B8"/>
    <w:rsid w:val="00D012A8"/>
    <w:rsid w:val="00D05D77"/>
    <w:rsid w:val="00D16151"/>
    <w:rsid w:val="00D22E7F"/>
    <w:rsid w:val="00D27AB9"/>
    <w:rsid w:val="00D31E8C"/>
    <w:rsid w:val="00D44EB7"/>
    <w:rsid w:val="00D51A9E"/>
    <w:rsid w:val="00D5225A"/>
    <w:rsid w:val="00D62804"/>
    <w:rsid w:val="00D65516"/>
    <w:rsid w:val="00D65D8E"/>
    <w:rsid w:val="00D675BA"/>
    <w:rsid w:val="00D73E16"/>
    <w:rsid w:val="00D84532"/>
    <w:rsid w:val="00D85374"/>
    <w:rsid w:val="00D854EF"/>
    <w:rsid w:val="00D863F2"/>
    <w:rsid w:val="00D920D7"/>
    <w:rsid w:val="00D9489F"/>
    <w:rsid w:val="00DA3C2B"/>
    <w:rsid w:val="00DA4F15"/>
    <w:rsid w:val="00DB31DD"/>
    <w:rsid w:val="00DB4FDF"/>
    <w:rsid w:val="00DB53A1"/>
    <w:rsid w:val="00DB79CB"/>
    <w:rsid w:val="00DC374D"/>
    <w:rsid w:val="00DC60AE"/>
    <w:rsid w:val="00DD0DA4"/>
    <w:rsid w:val="00DD316B"/>
    <w:rsid w:val="00DD7A0E"/>
    <w:rsid w:val="00DE380A"/>
    <w:rsid w:val="00DF1510"/>
    <w:rsid w:val="00DF3C50"/>
    <w:rsid w:val="00DF6829"/>
    <w:rsid w:val="00E00E32"/>
    <w:rsid w:val="00E13B0D"/>
    <w:rsid w:val="00E144FA"/>
    <w:rsid w:val="00E15F19"/>
    <w:rsid w:val="00E27F00"/>
    <w:rsid w:val="00E30136"/>
    <w:rsid w:val="00E315E3"/>
    <w:rsid w:val="00E40FEE"/>
    <w:rsid w:val="00E448E4"/>
    <w:rsid w:val="00E564E3"/>
    <w:rsid w:val="00E60291"/>
    <w:rsid w:val="00E619DC"/>
    <w:rsid w:val="00E728DE"/>
    <w:rsid w:val="00E73471"/>
    <w:rsid w:val="00E81FA7"/>
    <w:rsid w:val="00E821EB"/>
    <w:rsid w:val="00E82808"/>
    <w:rsid w:val="00E83DF4"/>
    <w:rsid w:val="00E945F8"/>
    <w:rsid w:val="00EA3C0D"/>
    <w:rsid w:val="00EB0495"/>
    <w:rsid w:val="00EC3750"/>
    <w:rsid w:val="00EC60FD"/>
    <w:rsid w:val="00EC7434"/>
    <w:rsid w:val="00ED6ABA"/>
    <w:rsid w:val="00EF20C4"/>
    <w:rsid w:val="00EF5707"/>
    <w:rsid w:val="00F0016E"/>
    <w:rsid w:val="00F01118"/>
    <w:rsid w:val="00F06FBA"/>
    <w:rsid w:val="00F1625C"/>
    <w:rsid w:val="00F17C91"/>
    <w:rsid w:val="00F23077"/>
    <w:rsid w:val="00F23FEA"/>
    <w:rsid w:val="00F32802"/>
    <w:rsid w:val="00F42290"/>
    <w:rsid w:val="00F47CDA"/>
    <w:rsid w:val="00F502FE"/>
    <w:rsid w:val="00F525C8"/>
    <w:rsid w:val="00F56685"/>
    <w:rsid w:val="00F66187"/>
    <w:rsid w:val="00F86708"/>
    <w:rsid w:val="00FB147C"/>
    <w:rsid w:val="00FB3735"/>
    <w:rsid w:val="00FC2063"/>
    <w:rsid w:val="00FC493A"/>
    <w:rsid w:val="00FE029A"/>
    <w:rsid w:val="00FF4C0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461E"/>
  <w15:docId w15:val="{8CE25381-25BF-4660-B475-F7A5B51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basedOn w:val="Normal"/>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semiHidden/>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semiHidden/>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character" w:customStyle="1" w:styleId="fontstyle01">
    <w:name w:val="fontstyle01"/>
    <w:basedOn w:val="DefaultParagraphFont"/>
    <w:rsid w:val="004E03B9"/>
    <w:rPr>
      <w:rFonts w:ascii="Calibri" w:hAnsi="Calibri" w:hint="default"/>
      <w:b/>
      <w:bCs/>
      <w:i w:val="0"/>
      <w:iCs w:val="0"/>
      <w:color w:val="000000"/>
      <w:sz w:val="22"/>
      <w:szCs w:val="22"/>
    </w:rPr>
  </w:style>
  <w:style w:type="character" w:styleId="Strong">
    <w:name w:val="Strong"/>
    <w:basedOn w:val="DefaultParagraphFont"/>
    <w:uiPriority w:val="22"/>
    <w:qFormat/>
    <w:rsid w:val="00503880"/>
    <w:rPr>
      <w:b/>
      <w:bCs/>
    </w:rPr>
  </w:style>
  <w:style w:type="paragraph" w:styleId="NormalWeb">
    <w:name w:val="Normal (Web)"/>
    <w:basedOn w:val="Normal"/>
    <w:uiPriority w:val="99"/>
    <w:semiHidden/>
    <w:unhideWhenUsed/>
    <w:rsid w:val="00503880"/>
    <w:pPr>
      <w:spacing w:before="240" w:after="240" w:line="240" w:lineRule="auto"/>
    </w:pPr>
    <w:rPr>
      <w:rFonts w:ascii="Times New Roman" w:eastAsia="Times New Roman" w:hAnsi="Times New Roman" w:cs="Times New Roman"/>
      <w:sz w:val="24"/>
      <w:szCs w:val="24"/>
      <w:lang w:val="en-AU" w:eastAsia="en-AU"/>
    </w:rPr>
  </w:style>
  <w:style w:type="character" w:customStyle="1" w:styleId="caps1">
    <w:name w:val="caps1"/>
    <w:basedOn w:val="DefaultParagraphFont"/>
    <w:rsid w:val="00503880"/>
    <w:rPr>
      <w:sz w:val="22"/>
      <w:szCs w:val="22"/>
    </w:rPr>
  </w:style>
  <w:style w:type="paragraph" w:customStyle="1" w:styleId="Default">
    <w:name w:val="Default"/>
    <w:rsid w:val="00B44087"/>
    <w:pPr>
      <w:autoSpaceDE w:val="0"/>
      <w:autoSpaceDN w:val="0"/>
      <w:adjustRightInd w:val="0"/>
      <w:spacing w:after="0" w:line="240" w:lineRule="auto"/>
    </w:pPr>
    <w:rPr>
      <w:rFonts w:ascii="Calibri" w:hAnsi="Calibri" w:cs="Calibri"/>
      <w:color w:val="000000"/>
      <w:sz w:val="24"/>
      <w:szCs w:val="24"/>
      <w:lang w:val="en-AU"/>
    </w:rPr>
  </w:style>
  <w:style w:type="character" w:customStyle="1" w:styleId="fontstyle21">
    <w:name w:val="fontstyle21"/>
    <w:basedOn w:val="DefaultParagraphFont"/>
    <w:rsid w:val="00D16151"/>
    <w:rPr>
      <w:rFonts w:ascii="Calibri-Italic" w:hAnsi="Calibri-Italic" w:hint="default"/>
      <w:b w:val="0"/>
      <w:bCs w:val="0"/>
      <w:i/>
      <w:iCs/>
      <w:color w:val="242021"/>
      <w:sz w:val="22"/>
      <w:szCs w:val="22"/>
    </w:rPr>
  </w:style>
  <w:style w:type="character" w:customStyle="1" w:styleId="fontstyle31">
    <w:name w:val="fontstyle31"/>
    <w:basedOn w:val="DefaultParagraphFont"/>
    <w:rsid w:val="00D16151"/>
    <w:rPr>
      <w:rFonts w:ascii="MinionPro-Regular" w:hAnsi="MinionPro-Regular" w:hint="default"/>
      <w:b w:val="0"/>
      <w:bCs w:val="0"/>
      <w:i w:val="0"/>
      <w:iCs w:val="0"/>
      <w:color w:val="752283"/>
      <w:sz w:val="22"/>
      <w:szCs w:val="22"/>
    </w:rPr>
  </w:style>
  <w:style w:type="character" w:customStyle="1" w:styleId="fontstyle41">
    <w:name w:val="fontstyle41"/>
    <w:basedOn w:val="DefaultParagraphFont"/>
    <w:rsid w:val="00D16151"/>
    <w:rPr>
      <w:rFonts w:ascii="MinionPro-BoldIt" w:hAnsi="MinionPro-BoldIt" w:hint="default"/>
      <w:b/>
      <w:bCs/>
      <w:i/>
      <w:iCs/>
      <w:color w:val="242021"/>
      <w:sz w:val="24"/>
      <w:szCs w:val="24"/>
    </w:rPr>
  </w:style>
  <w:style w:type="character" w:customStyle="1" w:styleId="fontstyle51">
    <w:name w:val="fontstyle51"/>
    <w:basedOn w:val="DefaultParagraphFont"/>
    <w:rsid w:val="00D16151"/>
    <w:rPr>
      <w:rFonts w:ascii="OpenSans-Bold" w:hAnsi="OpenSans-Bold" w:hint="default"/>
      <w:b/>
      <w:bCs/>
      <w:i w:val="0"/>
      <w:iCs w:val="0"/>
      <w:color w:val="242021"/>
      <w:sz w:val="24"/>
      <w:szCs w:val="24"/>
    </w:rPr>
  </w:style>
  <w:style w:type="paragraph" w:styleId="PlainText">
    <w:name w:val="Plain Text"/>
    <w:basedOn w:val="Normal"/>
    <w:link w:val="PlainTextChar"/>
    <w:uiPriority w:val="99"/>
    <w:semiHidden/>
    <w:unhideWhenUsed/>
    <w:rsid w:val="00D27AB9"/>
    <w:pPr>
      <w:spacing w:after="0" w:line="240" w:lineRule="auto"/>
    </w:pPr>
    <w:rPr>
      <w:rFonts w:ascii="Calibri" w:hAnsi="Calibri" w:cs="Calibri"/>
      <w:lang w:val="en-AU"/>
    </w:rPr>
  </w:style>
  <w:style w:type="character" w:customStyle="1" w:styleId="PlainTextChar">
    <w:name w:val="Plain Text Char"/>
    <w:basedOn w:val="DefaultParagraphFont"/>
    <w:link w:val="PlainText"/>
    <w:uiPriority w:val="99"/>
    <w:semiHidden/>
    <w:rsid w:val="00D27AB9"/>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779">
      <w:bodyDiv w:val="1"/>
      <w:marLeft w:val="0"/>
      <w:marRight w:val="0"/>
      <w:marTop w:val="0"/>
      <w:marBottom w:val="0"/>
      <w:divBdr>
        <w:top w:val="none" w:sz="0" w:space="0" w:color="auto"/>
        <w:left w:val="none" w:sz="0" w:space="0" w:color="auto"/>
        <w:bottom w:val="none" w:sz="0" w:space="0" w:color="auto"/>
        <w:right w:val="none" w:sz="0" w:space="0" w:color="auto"/>
      </w:divBdr>
      <w:divsChild>
        <w:div w:id="2898322">
          <w:marLeft w:val="0"/>
          <w:marRight w:val="0"/>
          <w:marTop w:val="0"/>
          <w:marBottom w:val="0"/>
          <w:divBdr>
            <w:top w:val="none" w:sz="0" w:space="0" w:color="auto"/>
            <w:left w:val="none" w:sz="0" w:space="0" w:color="auto"/>
            <w:bottom w:val="none" w:sz="0" w:space="0" w:color="auto"/>
            <w:right w:val="none" w:sz="0" w:space="0" w:color="auto"/>
          </w:divBdr>
        </w:div>
        <w:div w:id="5257259">
          <w:marLeft w:val="0"/>
          <w:marRight w:val="0"/>
          <w:marTop w:val="0"/>
          <w:marBottom w:val="0"/>
          <w:divBdr>
            <w:top w:val="none" w:sz="0" w:space="0" w:color="auto"/>
            <w:left w:val="none" w:sz="0" w:space="0" w:color="auto"/>
            <w:bottom w:val="none" w:sz="0" w:space="0" w:color="auto"/>
            <w:right w:val="none" w:sz="0" w:space="0" w:color="auto"/>
          </w:divBdr>
        </w:div>
        <w:div w:id="20668452">
          <w:marLeft w:val="0"/>
          <w:marRight w:val="0"/>
          <w:marTop w:val="0"/>
          <w:marBottom w:val="0"/>
          <w:divBdr>
            <w:top w:val="none" w:sz="0" w:space="0" w:color="auto"/>
            <w:left w:val="none" w:sz="0" w:space="0" w:color="auto"/>
            <w:bottom w:val="none" w:sz="0" w:space="0" w:color="auto"/>
            <w:right w:val="none" w:sz="0" w:space="0" w:color="auto"/>
          </w:divBdr>
        </w:div>
        <w:div w:id="24332075">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38743587">
          <w:marLeft w:val="0"/>
          <w:marRight w:val="0"/>
          <w:marTop w:val="0"/>
          <w:marBottom w:val="0"/>
          <w:divBdr>
            <w:top w:val="none" w:sz="0" w:space="0" w:color="auto"/>
            <w:left w:val="none" w:sz="0" w:space="0" w:color="auto"/>
            <w:bottom w:val="none" w:sz="0" w:space="0" w:color="auto"/>
            <w:right w:val="none" w:sz="0" w:space="0" w:color="auto"/>
          </w:divBdr>
        </w:div>
        <w:div w:id="59787936">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77363439">
          <w:marLeft w:val="0"/>
          <w:marRight w:val="0"/>
          <w:marTop w:val="0"/>
          <w:marBottom w:val="0"/>
          <w:divBdr>
            <w:top w:val="none" w:sz="0" w:space="0" w:color="auto"/>
            <w:left w:val="none" w:sz="0" w:space="0" w:color="auto"/>
            <w:bottom w:val="none" w:sz="0" w:space="0" w:color="auto"/>
            <w:right w:val="none" w:sz="0" w:space="0" w:color="auto"/>
          </w:divBdr>
        </w:div>
        <w:div w:id="91322272">
          <w:marLeft w:val="0"/>
          <w:marRight w:val="0"/>
          <w:marTop w:val="0"/>
          <w:marBottom w:val="0"/>
          <w:divBdr>
            <w:top w:val="none" w:sz="0" w:space="0" w:color="auto"/>
            <w:left w:val="none" w:sz="0" w:space="0" w:color="auto"/>
            <w:bottom w:val="none" w:sz="0" w:space="0" w:color="auto"/>
            <w:right w:val="none" w:sz="0" w:space="0" w:color="auto"/>
          </w:divBdr>
        </w:div>
        <w:div w:id="97068603">
          <w:marLeft w:val="0"/>
          <w:marRight w:val="0"/>
          <w:marTop w:val="0"/>
          <w:marBottom w:val="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102501575">
          <w:marLeft w:val="0"/>
          <w:marRight w:val="0"/>
          <w:marTop w:val="0"/>
          <w:marBottom w:val="0"/>
          <w:divBdr>
            <w:top w:val="none" w:sz="0" w:space="0" w:color="auto"/>
            <w:left w:val="none" w:sz="0" w:space="0" w:color="auto"/>
            <w:bottom w:val="none" w:sz="0" w:space="0" w:color="auto"/>
            <w:right w:val="none" w:sz="0" w:space="0" w:color="auto"/>
          </w:divBdr>
        </w:div>
        <w:div w:id="106170091">
          <w:marLeft w:val="0"/>
          <w:marRight w:val="0"/>
          <w:marTop w:val="0"/>
          <w:marBottom w:val="0"/>
          <w:divBdr>
            <w:top w:val="none" w:sz="0" w:space="0" w:color="auto"/>
            <w:left w:val="none" w:sz="0" w:space="0" w:color="auto"/>
            <w:bottom w:val="none" w:sz="0" w:space="0" w:color="auto"/>
            <w:right w:val="none" w:sz="0" w:space="0" w:color="auto"/>
          </w:divBdr>
        </w:div>
        <w:div w:id="108861672">
          <w:marLeft w:val="0"/>
          <w:marRight w:val="0"/>
          <w:marTop w:val="0"/>
          <w:marBottom w:val="0"/>
          <w:divBdr>
            <w:top w:val="none" w:sz="0" w:space="0" w:color="auto"/>
            <w:left w:val="none" w:sz="0" w:space="0" w:color="auto"/>
            <w:bottom w:val="none" w:sz="0" w:space="0" w:color="auto"/>
            <w:right w:val="none" w:sz="0" w:space="0" w:color="auto"/>
          </w:divBdr>
        </w:div>
        <w:div w:id="116027561">
          <w:marLeft w:val="0"/>
          <w:marRight w:val="0"/>
          <w:marTop w:val="0"/>
          <w:marBottom w:val="0"/>
          <w:divBdr>
            <w:top w:val="none" w:sz="0" w:space="0" w:color="auto"/>
            <w:left w:val="none" w:sz="0" w:space="0" w:color="auto"/>
            <w:bottom w:val="none" w:sz="0" w:space="0" w:color="auto"/>
            <w:right w:val="none" w:sz="0" w:space="0" w:color="auto"/>
          </w:divBdr>
        </w:div>
        <w:div w:id="120927928">
          <w:marLeft w:val="0"/>
          <w:marRight w:val="0"/>
          <w:marTop w:val="0"/>
          <w:marBottom w:val="0"/>
          <w:divBdr>
            <w:top w:val="none" w:sz="0" w:space="0" w:color="auto"/>
            <w:left w:val="none" w:sz="0" w:space="0" w:color="auto"/>
            <w:bottom w:val="none" w:sz="0" w:space="0" w:color="auto"/>
            <w:right w:val="none" w:sz="0" w:space="0" w:color="auto"/>
          </w:divBdr>
        </w:div>
        <w:div w:id="129982536">
          <w:marLeft w:val="0"/>
          <w:marRight w:val="0"/>
          <w:marTop w:val="0"/>
          <w:marBottom w:val="0"/>
          <w:divBdr>
            <w:top w:val="none" w:sz="0" w:space="0" w:color="auto"/>
            <w:left w:val="none" w:sz="0" w:space="0" w:color="auto"/>
            <w:bottom w:val="none" w:sz="0" w:space="0" w:color="auto"/>
            <w:right w:val="none" w:sz="0" w:space="0" w:color="auto"/>
          </w:divBdr>
        </w:div>
        <w:div w:id="137501595">
          <w:marLeft w:val="0"/>
          <w:marRight w:val="0"/>
          <w:marTop w:val="0"/>
          <w:marBottom w:val="0"/>
          <w:divBdr>
            <w:top w:val="none" w:sz="0" w:space="0" w:color="auto"/>
            <w:left w:val="none" w:sz="0" w:space="0" w:color="auto"/>
            <w:bottom w:val="none" w:sz="0" w:space="0" w:color="auto"/>
            <w:right w:val="none" w:sz="0" w:space="0" w:color="auto"/>
          </w:divBdr>
        </w:div>
        <w:div w:id="146289130">
          <w:marLeft w:val="0"/>
          <w:marRight w:val="0"/>
          <w:marTop w:val="0"/>
          <w:marBottom w:val="0"/>
          <w:divBdr>
            <w:top w:val="none" w:sz="0" w:space="0" w:color="auto"/>
            <w:left w:val="none" w:sz="0" w:space="0" w:color="auto"/>
            <w:bottom w:val="none" w:sz="0" w:space="0" w:color="auto"/>
            <w:right w:val="none" w:sz="0" w:space="0" w:color="auto"/>
          </w:divBdr>
        </w:div>
        <w:div w:id="153566835">
          <w:marLeft w:val="0"/>
          <w:marRight w:val="0"/>
          <w:marTop w:val="0"/>
          <w:marBottom w:val="0"/>
          <w:divBdr>
            <w:top w:val="none" w:sz="0" w:space="0" w:color="auto"/>
            <w:left w:val="none" w:sz="0" w:space="0" w:color="auto"/>
            <w:bottom w:val="none" w:sz="0" w:space="0" w:color="auto"/>
            <w:right w:val="none" w:sz="0" w:space="0" w:color="auto"/>
          </w:divBdr>
        </w:div>
        <w:div w:id="168906578">
          <w:marLeft w:val="0"/>
          <w:marRight w:val="0"/>
          <w:marTop w:val="0"/>
          <w:marBottom w:val="0"/>
          <w:divBdr>
            <w:top w:val="none" w:sz="0" w:space="0" w:color="auto"/>
            <w:left w:val="none" w:sz="0" w:space="0" w:color="auto"/>
            <w:bottom w:val="none" w:sz="0" w:space="0" w:color="auto"/>
            <w:right w:val="none" w:sz="0" w:space="0" w:color="auto"/>
          </w:divBdr>
        </w:div>
        <w:div w:id="176703260">
          <w:marLeft w:val="0"/>
          <w:marRight w:val="0"/>
          <w:marTop w:val="0"/>
          <w:marBottom w:val="0"/>
          <w:divBdr>
            <w:top w:val="none" w:sz="0" w:space="0" w:color="auto"/>
            <w:left w:val="none" w:sz="0" w:space="0" w:color="auto"/>
            <w:bottom w:val="none" w:sz="0" w:space="0" w:color="auto"/>
            <w:right w:val="none" w:sz="0" w:space="0" w:color="auto"/>
          </w:divBdr>
        </w:div>
        <w:div w:id="182866183">
          <w:marLeft w:val="0"/>
          <w:marRight w:val="0"/>
          <w:marTop w:val="0"/>
          <w:marBottom w:val="0"/>
          <w:divBdr>
            <w:top w:val="none" w:sz="0" w:space="0" w:color="auto"/>
            <w:left w:val="none" w:sz="0" w:space="0" w:color="auto"/>
            <w:bottom w:val="none" w:sz="0" w:space="0" w:color="auto"/>
            <w:right w:val="none" w:sz="0" w:space="0" w:color="auto"/>
          </w:divBdr>
        </w:div>
        <w:div w:id="185681711">
          <w:marLeft w:val="0"/>
          <w:marRight w:val="0"/>
          <w:marTop w:val="0"/>
          <w:marBottom w:val="0"/>
          <w:divBdr>
            <w:top w:val="none" w:sz="0" w:space="0" w:color="auto"/>
            <w:left w:val="none" w:sz="0" w:space="0" w:color="auto"/>
            <w:bottom w:val="none" w:sz="0" w:space="0" w:color="auto"/>
            <w:right w:val="none" w:sz="0" w:space="0" w:color="auto"/>
          </w:divBdr>
        </w:div>
        <w:div w:id="190732305">
          <w:marLeft w:val="0"/>
          <w:marRight w:val="0"/>
          <w:marTop w:val="0"/>
          <w:marBottom w:val="0"/>
          <w:divBdr>
            <w:top w:val="none" w:sz="0" w:space="0" w:color="auto"/>
            <w:left w:val="none" w:sz="0" w:space="0" w:color="auto"/>
            <w:bottom w:val="none" w:sz="0" w:space="0" w:color="auto"/>
            <w:right w:val="none" w:sz="0" w:space="0" w:color="auto"/>
          </w:divBdr>
        </w:div>
        <w:div w:id="193082755">
          <w:marLeft w:val="0"/>
          <w:marRight w:val="0"/>
          <w:marTop w:val="0"/>
          <w:marBottom w:val="0"/>
          <w:divBdr>
            <w:top w:val="none" w:sz="0" w:space="0" w:color="auto"/>
            <w:left w:val="none" w:sz="0" w:space="0" w:color="auto"/>
            <w:bottom w:val="none" w:sz="0" w:space="0" w:color="auto"/>
            <w:right w:val="none" w:sz="0" w:space="0" w:color="auto"/>
          </w:divBdr>
        </w:div>
        <w:div w:id="209999475">
          <w:marLeft w:val="0"/>
          <w:marRight w:val="0"/>
          <w:marTop w:val="0"/>
          <w:marBottom w:val="0"/>
          <w:divBdr>
            <w:top w:val="none" w:sz="0" w:space="0" w:color="auto"/>
            <w:left w:val="none" w:sz="0" w:space="0" w:color="auto"/>
            <w:bottom w:val="none" w:sz="0" w:space="0" w:color="auto"/>
            <w:right w:val="none" w:sz="0" w:space="0" w:color="auto"/>
          </w:divBdr>
        </w:div>
        <w:div w:id="210309797">
          <w:marLeft w:val="0"/>
          <w:marRight w:val="0"/>
          <w:marTop w:val="0"/>
          <w:marBottom w:val="0"/>
          <w:divBdr>
            <w:top w:val="none" w:sz="0" w:space="0" w:color="auto"/>
            <w:left w:val="none" w:sz="0" w:space="0" w:color="auto"/>
            <w:bottom w:val="none" w:sz="0" w:space="0" w:color="auto"/>
            <w:right w:val="none" w:sz="0" w:space="0" w:color="auto"/>
          </w:divBdr>
        </w:div>
        <w:div w:id="233659694">
          <w:marLeft w:val="0"/>
          <w:marRight w:val="0"/>
          <w:marTop w:val="0"/>
          <w:marBottom w:val="0"/>
          <w:divBdr>
            <w:top w:val="none" w:sz="0" w:space="0" w:color="auto"/>
            <w:left w:val="none" w:sz="0" w:space="0" w:color="auto"/>
            <w:bottom w:val="none" w:sz="0" w:space="0" w:color="auto"/>
            <w:right w:val="none" w:sz="0" w:space="0" w:color="auto"/>
          </w:divBdr>
        </w:div>
        <w:div w:id="246159657">
          <w:marLeft w:val="0"/>
          <w:marRight w:val="0"/>
          <w:marTop w:val="0"/>
          <w:marBottom w:val="0"/>
          <w:divBdr>
            <w:top w:val="none" w:sz="0" w:space="0" w:color="auto"/>
            <w:left w:val="none" w:sz="0" w:space="0" w:color="auto"/>
            <w:bottom w:val="none" w:sz="0" w:space="0" w:color="auto"/>
            <w:right w:val="none" w:sz="0" w:space="0" w:color="auto"/>
          </w:divBdr>
        </w:div>
        <w:div w:id="261106738">
          <w:marLeft w:val="0"/>
          <w:marRight w:val="0"/>
          <w:marTop w:val="0"/>
          <w:marBottom w:val="0"/>
          <w:divBdr>
            <w:top w:val="none" w:sz="0" w:space="0" w:color="auto"/>
            <w:left w:val="none" w:sz="0" w:space="0" w:color="auto"/>
            <w:bottom w:val="none" w:sz="0" w:space="0" w:color="auto"/>
            <w:right w:val="none" w:sz="0" w:space="0" w:color="auto"/>
          </w:divBdr>
        </w:div>
        <w:div w:id="262301704">
          <w:marLeft w:val="0"/>
          <w:marRight w:val="0"/>
          <w:marTop w:val="0"/>
          <w:marBottom w:val="0"/>
          <w:divBdr>
            <w:top w:val="none" w:sz="0" w:space="0" w:color="auto"/>
            <w:left w:val="none" w:sz="0" w:space="0" w:color="auto"/>
            <w:bottom w:val="none" w:sz="0" w:space="0" w:color="auto"/>
            <w:right w:val="none" w:sz="0" w:space="0" w:color="auto"/>
          </w:divBdr>
        </w:div>
        <w:div w:id="270742861">
          <w:marLeft w:val="0"/>
          <w:marRight w:val="0"/>
          <w:marTop w:val="0"/>
          <w:marBottom w:val="0"/>
          <w:divBdr>
            <w:top w:val="none" w:sz="0" w:space="0" w:color="auto"/>
            <w:left w:val="none" w:sz="0" w:space="0" w:color="auto"/>
            <w:bottom w:val="none" w:sz="0" w:space="0" w:color="auto"/>
            <w:right w:val="none" w:sz="0" w:space="0" w:color="auto"/>
          </w:divBdr>
        </w:div>
        <w:div w:id="295456397">
          <w:marLeft w:val="0"/>
          <w:marRight w:val="0"/>
          <w:marTop w:val="0"/>
          <w:marBottom w:val="0"/>
          <w:divBdr>
            <w:top w:val="none" w:sz="0" w:space="0" w:color="auto"/>
            <w:left w:val="none" w:sz="0" w:space="0" w:color="auto"/>
            <w:bottom w:val="none" w:sz="0" w:space="0" w:color="auto"/>
            <w:right w:val="none" w:sz="0" w:space="0" w:color="auto"/>
          </w:divBdr>
        </w:div>
        <w:div w:id="303127388">
          <w:marLeft w:val="0"/>
          <w:marRight w:val="0"/>
          <w:marTop w:val="0"/>
          <w:marBottom w:val="0"/>
          <w:divBdr>
            <w:top w:val="none" w:sz="0" w:space="0" w:color="auto"/>
            <w:left w:val="none" w:sz="0" w:space="0" w:color="auto"/>
            <w:bottom w:val="none" w:sz="0" w:space="0" w:color="auto"/>
            <w:right w:val="none" w:sz="0" w:space="0" w:color="auto"/>
          </w:divBdr>
        </w:div>
        <w:div w:id="330455663">
          <w:marLeft w:val="0"/>
          <w:marRight w:val="0"/>
          <w:marTop w:val="0"/>
          <w:marBottom w:val="0"/>
          <w:divBdr>
            <w:top w:val="none" w:sz="0" w:space="0" w:color="auto"/>
            <w:left w:val="none" w:sz="0" w:space="0" w:color="auto"/>
            <w:bottom w:val="none" w:sz="0" w:space="0" w:color="auto"/>
            <w:right w:val="none" w:sz="0" w:space="0" w:color="auto"/>
          </w:divBdr>
        </w:div>
        <w:div w:id="335617116">
          <w:marLeft w:val="0"/>
          <w:marRight w:val="0"/>
          <w:marTop w:val="0"/>
          <w:marBottom w:val="0"/>
          <w:divBdr>
            <w:top w:val="none" w:sz="0" w:space="0" w:color="auto"/>
            <w:left w:val="none" w:sz="0" w:space="0" w:color="auto"/>
            <w:bottom w:val="none" w:sz="0" w:space="0" w:color="auto"/>
            <w:right w:val="none" w:sz="0" w:space="0" w:color="auto"/>
          </w:divBdr>
        </w:div>
        <w:div w:id="337317802">
          <w:marLeft w:val="0"/>
          <w:marRight w:val="0"/>
          <w:marTop w:val="0"/>
          <w:marBottom w:val="0"/>
          <w:divBdr>
            <w:top w:val="none" w:sz="0" w:space="0" w:color="auto"/>
            <w:left w:val="none" w:sz="0" w:space="0" w:color="auto"/>
            <w:bottom w:val="none" w:sz="0" w:space="0" w:color="auto"/>
            <w:right w:val="none" w:sz="0" w:space="0" w:color="auto"/>
          </w:divBdr>
        </w:div>
        <w:div w:id="343750900">
          <w:marLeft w:val="0"/>
          <w:marRight w:val="0"/>
          <w:marTop w:val="0"/>
          <w:marBottom w:val="0"/>
          <w:divBdr>
            <w:top w:val="none" w:sz="0" w:space="0" w:color="auto"/>
            <w:left w:val="none" w:sz="0" w:space="0" w:color="auto"/>
            <w:bottom w:val="none" w:sz="0" w:space="0" w:color="auto"/>
            <w:right w:val="none" w:sz="0" w:space="0" w:color="auto"/>
          </w:divBdr>
        </w:div>
        <w:div w:id="375587875">
          <w:marLeft w:val="0"/>
          <w:marRight w:val="0"/>
          <w:marTop w:val="0"/>
          <w:marBottom w:val="0"/>
          <w:divBdr>
            <w:top w:val="none" w:sz="0" w:space="0" w:color="auto"/>
            <w:left w:val="none" w:sz="0" w:space="0" w:color="auto"/>
            <w:bottom w:val="none" w:sz="0" w:space="0" w:color="auto"/>
            <w:right w:val="none" w:sz="0" w:space="0" w:color="auto"/>
          </w:divBdr>
        </w:div>
        <w:div w:id="400063750">
          <w:marLeft w:val="0"/>
          <w:marRight w:val="0"/>
          <w:marTop w:val="0"/>
          <w:marBottom w:val="0"/>
          <w:divBdr>
            <w:top w:val="none" w:sz="0" w:space="0" w:color="auto"/>
            <w:left w:val="none" w:sz="0" w:space="0" w:color="auto"/>
            <w:bottom w:val="none" w:sz="0" w:space="0" w:color="auto"/>
            <w:right w:val="none" w:sz="0" w:space="0" w:color="auto"/>
          </w:divBdr>
        </w:div>
        <w:div w:id="415706633">
          <w:marLeft w:val="0"/>
          <w:marRight w:val="0"/>
          <w:marTop w:val="0"/>
          <w:marBottom w:val="0"/>
          <w:divBdr>
            <w:top w:val="none" w:sz="0" w:space="0" w:color="auto"/>
            <w:left w:val="none" w:sz="0" w:space="0" w:color="auto"/>
            <w:bottom w:val="none" w:sz="0" w:space="0" w:color="auto"/>
            <w:right w:val="none" w:sz="0" w:space="0" w:color="auto"/>
          </w:divBdr>
        </w:div>
        <w:div w:id="417949492">
          <w:marLeft w:val="0"/>
          <w:marRight w:val="0"/>
          <w:marTop w:val="0"/>
          <w:marBottom w:val="0"/>
          <w:divBdr>
            <w:top w:val="none" w:sz="0" w:space="0" w:color="auto"/>
            <w:left w:val="none" w:sz="0" w:space="0" w:color="auto"/>
            <w:bottom w:val="none" w:sz="0" w:space="0" w:color="auto"/>
            <w:right w:val="none" w:sz="0" w:space="0" w:color="auto"/>
          </w:divBdr>
        </w:div>
        <w:div w:id="423381045">
          <w:marLeft w:val="0"/>
          <w:marRight w:val="0"/>
          <w:marTop w:val="0"/>
          <w:marBottom w:val="0"/>
          <w:divBdr>
            <w:top w:val="none" w:sz="0" w:space="0" w:color="auto"/>
            <w:left w:val="none" w:sz="0" w:space="0" w:color="auto"/>
            <w:bottom w:val="none" w:sz="0" w:space="0" w:color="auto"/>
            <w:right w:val="none" w:sz="0" w:space="0" w:color="auto"/>
          </w:divBdr>
        </w:div>
        <w:div w:id="430392822">
          <w:marLeft w:val="0"/>
          <w:marRight w:val="0"/>
          <w:marTop w:val="0"/>
          <w:marBottom w:val="0"/>
          <w:divBdr>
            <w:top w:val="none" w:sz="0" w:space="0" w:color="auto"/>
            <w:left w:val="none" w:sz="0" w:space="0" w:color="auto"/>
            <w:bottom w:val="none" w:sz="0" w:space="0" w:color="auto"/>
            <w:right w:val="none" w:sz="0" w:space="0" w:color="auto"/>
          </w:divBdr>
        </w:div>
        <w:div w:id="438187480">
          <w:marLeft w:val="0"/>
          <w:marRight w:val="0"/>
          <w:marTop w:val="0"/>
          <w:marBottom w:val="0"/>
          <w:divBdr>
            <w:top w:val="none" w:sz="0" w:space="0" w:color="auto"/>
            <w:left w:val="none" w:sz="0" w:space="0" w:color="auto"/>
            <w:bottom w:val="none" w:sz="0" w:space="0" w:color="auto"/>
            <w:right w:val="none" w:sz="0" w:space="0" w:color="auto"/>
          </w:divBdr>
        </w:div>
        <w:div w:id="441415708">
          <w:marLeft w:val="0"/>
          <w:marRight w:val="0"/>
          <w:marTop w:val="0"/>
          <w:marBottom w:val="0"/>
          <w:divBdr>
            <w:top w:val="none" w:sz="0" w:space="0" w:color="auto"/>
            <w:left w:val="none" w:sz="0" w:space="0" w:color="auto"/>
            <w:bottom w:val="none" w:sz="0" w:space="0" w:color="auto"/>
            <w:right w:val="none" w:sz="0" w:space="0" w:color="auto"/>
          </w:divBdr>
        </w:div>
        <w:div w:id="445588680">
          <w:marLeft w:val="0"/>
          <w:marRight w:val="0"/>
          <w:marTop w:val="0"/>
          <w:marBottom w:val="0"/>
          <w:divBdr>
            <w:top w:val="none" w:sz="0" w:space="0" w:color="auto"/>
            <w:left w:val="none" w:sz="0" w:space="0" w:color="auto"/>
            <w:bottom w:val="none" w:sz="0" w:space="0" w:color="auto"/>
            <w:right w:val="none" w:sz="0" w:space="0" w:color="auto"/>
          </w:divBdr>
        </w:div>
        <w:div w:id="451940320">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460268613">
          <w:marLeft w:val="0"/>
          <w:marRight w:val="0"/>
          <w:marTop w:val="0"/>
          <w:marBottom w:val="0"/>
          <w:divBdr>
            <w:top w:val="none" w:sz="0" w:space="0" w:color="auto"/>
            <w:left w:val="none" w:sz="0" w:space="0" w:color="auto"/>
            <w:bottom w:val="none" w:sz="0" w:space="0" w:color="auto"/>
            <w:right w:val="none" w:sz="0" w:space="0" w:color="auto"/>
          </w:divBdr>
        </w:div>
        <w:div w:id="463430570">
          <w:marLeft w:val="0"/>
          <w:marRight w:val="0"/>
          <w:marTop w:val="0"/>
          <w:marBottom w:val="0"/>
          <w:divBdr>
            <w:top w:val="none" w:sz="0" w:space="0" w:color="auto"/>
            <w:left w:val="none" w:sz="0" w:space="0" w:color="auto"/>
            <w:bottom w:val="none" w:sz="0" w:space="0" w:color="auto"/>
            <w:right w:val="none" w:sz="0" w:space="0" w:color="auto"/>
          </w:divBdr>
        </w:div>
        <w:div w:id="492376490">
          <w:marLeft w:val="0"/>
          <w:marRight w:val="0"/>
          <w:marTop w:val="0"/>
          <w:marBottom w:val="0"/>
          <w:divBdr>
            <w:top w:val="none" w:sz="0" w:space="0" w:color="auto"/>
            <w:left w:val="none" w:sz="0" w:space="0" w:color="auto"/>
            <w:bottom w:val="none" w:sz="0" w:space="0" w:color="auto"/>
            <w:right w:val="none" w:sz="0" w:space="0" w:color="auto"/>
          </w:divBdr>
        </w:div>
        <w:div w:id="502168731">
          <w:marLeft w:val="0"/>
          <w:marRight w:val="0"/>
          <w:marTop w:val="0"/>
          <w:marBottom w:val="0"/>
          <w:divBdr>
            <w:top w:val="none" w:sz="0" w:space="0" w:color="auto"/>
            <w:left w:val="none" w:sz="0" w:space="0" w:color="auto"/>
            <w:bottom w:val="none" w:sz="0" w:space="0" w:color="auto"/>
            <w:right w:val="none" w:sz="0" w:space="0" w:color="auto"/>
          </w:divBdr>
        </w:div>
        <w:div w:id="507065007">
          <w:marLeft w:val="0"/>
          <w:marRight w:val="0"/>
          <w:marTop w:val="0"/>
          <w:marBottom w:val="0"/>
          <w:divBdr>
            <w:top w:val="none" w:sz="0" w:space="0" w:color="auto"/>
            <w:left w:val="none" w:sz="0" w:space="0" w:color="auto"/>
            <w:bottom w:val="none" w:sz="0" w:space="0" w:color="auto"/>
            <w:right w:val="none" w:sz="0" w:space="0" w:color="auto"/>
          </w:divBdr>
        </w:div>
        <w:div w:id="527523760">
          <w:marLeft w:val="0"/>
          <w:marRight w:val="0"/>
          <w:marTop w:val="0"/>
          <w:marBottom w:val="0"/>
          <w:divBdr>
            <w:top w:val="none" w:sz="0" w:space="0" w:color="auto"/>
            <w:left w:val="none" w:sz="0" w:space="0" w:color="auto"/>
            <w:bottom w:val="none" w:sz="0" w:space="0" w:color="auto"/>
            <w:right w:val="none" w:sz="0" w:space="0" w:color="auto"/>
          </w:divBdr>
        </w:div>
        <w:div w:id="543754485">
          <w:marLeft w:val="0"/>
          <w:marRight w:val="0"/>
          <w:marTop w:val="0"/>
          <w:marBottom w:val="0"/>
          <w:divBdr>
            <w:top w:val="none" w:sz="0" w:space="0" w:color="auto"/>
            <w:left w:val="none" w:sz="0" w:space="0" w:color="auto"/>
            <w:bottom w:val="none" w:sz="0" w:space="0" w:color="auto"/>
            <w:right w:val="none" w:sz="0" w:space="0" w:color="auto"/>
          </w:divBdr>
        </w:div>
        <w:div w:id="546183494">
          <w:marLeft w:val="0"/>
          <w:marRight w:val="0"/>
          <w:marTop w:val="0"/>
          <w:marBottom w:val="0"/>
          <w:divBdr>
            <w:top w:val="none" w:sz="0" w:space="0" w:color="auto"/>
            <w:left w:val="none" w:sz="0" w:space="0" w:color="auto"/>
            <w:bottom w:val="none" w:sz="0" w:space="0" w:color="auto"/>
            <w:right w:val="none" w:sz="0" w:space="0" w:color="auto"/>
          </w:divBdr>
        </w:div>
        <w:div w:id="558440172">
          <w:marLeft w:val="0"/>
          <w:marRight w:val="0"/>
          <w:marTop w:val="0"/>
          <w:marBottom w:val="0"/>
          <w:divBdr>
            <w:top w:val="none" w:sz="0" w:space="0" w:color="auto"/>
            <w:left w:val="none" w:sz="0" w:space="0" w:color="auto"/>
            <w:bottom w:val="none" w:sz="0" w:space="0" w:color="auto"/>
            <w:right w:val="none" w:sz="0" w:space="0" w:color="auto"/>
          </w:divBdr>
        </w:div>
        <w:div w:id="566304285">
          <w:marLeft w:val="0"/>
          <w:marRight w:val="0"/>
          <w:marTop w:val="0"/>
          <w:marBottom w:val="0"/>
          <w:divBdr>
            <w:top w:val="none" w:sz="0" w:space="0" w:color="auto"/>
            <w:left w:val="none" w:sz="0" w:space="0" w:color="auto"/>
            <w:bottom w:val="none" w:sz="0" w:space="0" w:color="auto"/>
            <w:right w:val="none" w:sz="0" w:space="0" w:color="auto"/>
          </w:divBdr>
        </w:div>
        <w:div w:id="589240976">
          <w:marLeft w:val="0"/>
          <w:marRight w:val="0"/>
          <w:marTop w:val="0"/>
          <w:marBottom w:val="0"/>
          <w:divBdr>
            <w:top w:val="none" w:sz="0" w:space="0" w:color="auto"/>
            <w:left w:val="none" w:sz="0" w:space="0" w:color="auto"/>
            <w:bottom w:val="none" w:sz="0" w:space="0" w:color="auto"/>
            <w:right w:val="none" w:sz="0" w:space="0" w:color="auto"/>
          </w:divBdr>
        </w:div>
        <w:div w:id="592055238">
          <w:marLeft w:val="0"/>
          <w:marRight w:val="0"/>
          <w:marTop w:val="0"/>
          <w:marBottom w:val="0"/>
          <w:divBdr>
            <w:top w:val="none" w:sz="0" w:space="0" w:color="auto"/>
            <w:left w:val="none" w:sz="0" w:space="0" w:color="auto"/>
            <w:bottom w:val="none" w:sz="0" w:space="0" w:color="auto"/>
            <w:right w:val="none" w:sz="0" w:space="0" w:color="auto"/>
          </w:divBdr>
        </w:div>
        <w:div w:id="595208392">
          <w:marLeft w:val="0"/>
          <w:marRight w:val="0"/>
          <w:marTop w:val="0"/>
          <w:marBottom w:val="0"/>
          <w:divBdr>
            <w:top w:val="none" w:sz="0" w:space="0" w:color="auto"/>
            <w:left w:val="none" w:sz="0" w:space="0" w:color="auto"/>
            <w:bottom w:val="none" w:sz="0" w:space="0" w:color="auto"/>
            <w:right w:val="none" w:sz="0" w:space="0" w:color="auto"/>
          </w:divBdr>
        </w:div>
        <w:div w:id="598637313">
          <w:marLeft w:val="0"/>
          <w:marRight w:val="0"/>
          <w:marTop w:val="0"/>
          <w:marBottom w:val="0"/>
          <w:divBdr>
            <w:top w:val="none" w:sz="0" w:space="0" w:color="auto"/>
            <w:left w:val="none" w:sz="0" w:space="0" w:color="auto"/>
            <w:bottom w:val="none" w:sz="0" w:space="0" w:color="auto"/>
            <w:right w:val="none" w:sz="0" w:space="0" w:color="auto"/>
          </w:divBdr>
        </w:div>
        <w:div w:id="600604612">
          <w:marLeft w:val="0"/>
          <w:marRight w:val="0"/>
          <w:marTop w:val="0"/>
          <w:marBottom w:val="0"/>
          <w:divBdr>
            <w:top w:val="none" w:sz="0" w:space="0" w:color="auto"/>
            <w:left w:val="none" w:sz="0" w:space="0" w:color="auto"/>
            <w:bottom w:val="none" w:sz="0" w:space="0" w:color="auto"/>
            <w:right w:val="none" w:sz="0" w:space="0" w:color="auto"/>
          </w:divBdr>
        </w:div>
        <w:div w:id="612251284">
          <w:marLeft w:val="0"/>
          <w:marRight w:val="0"/>
          <w:marTop w:val="0"/>
          <w:marBottom w:val="0"/>
          <w:divBdr>
            <w:top w:val="none" w:sz="0" w:space="0" w:color="auto"/>
            <w:left w:val="none" w:sz="0" w:space="0" w:color="auto"/>
            <w:bottom w:val="none" w:sz="0" w:space="0" w:color="auto"/>
            <w:right w:val="none" w:sz="0" w:space="0" w:color="auto"/>
          </w:divBdr>
        </w:div>
        <w:div w:id="613908424">
          <w:marLeft w:val="0"/>
          <w:marRight w:val="0"/>
          <w:marTop w:val="0"/>
          <w:marBottom w:val="0"/>
          <w:divBdr>
            <w:top w:val="none" w:sz="0" w:space="0" w:color="auto"/>
            <w:left w:val="none" w:sz="0" w:space="0" w:color="auto"/>
            <w:bottom w:val="none" w:sz="0" w:space="0" w:color="auto"/>
            <w:right w:val="none" w:sz="0" w:space="0" w:color="auto"/>
          </w:divBdr>
        </w:div>
        <w:div w:id="620259202">
          <w:marLeft w:val="0"/>
          <w:marRight w:val="0"/>
          <w:marTop w:val="0"/>
          <w:marBottom w:val="0"/>
          <w:divBdr>
            <w:top w:val="none" w:sz="0" w:space="0" w:color="auto"/>
            <w:left w:val="none" w:sz="0" w:space="0" w:color="auto"/>
            <w:bottom w:val="none" w:sz="0" w:space="0" w:color="auto"/>
            <w:right w:val="none" w:sz="0" w:space="0" w:color="auto"/>
          </w:divBdr>
        </w:div>
        <w:div w:id="626277165">
          <w:marLeft w:val="0"/>
          <w:marRight w:val="0"/>
          <w:marTop w:val="0"/>
          <w:marBottom w:val="0"/>
          <w:divBdr>
            <w:top w:val="none" w:sz="0" w:space="0" w:color="auto"/>
            <w:left w:val="none" w:sz="0" w:space="0" w:color="auto"/>
            <w:bottom w:val="none" w:sz="0" w:space="0" w:color="auto"/>
            <w:right w:val="none" w:sz="0" w:space="0" w:color="auto"/>
          </w:divBdr>
        </w:div>
        <w:div w:id="626542839">
          <w:marLeft w:val="0"/>
          <w:marRight w:val="0"/>
          <w:marTop w:val="0"/>
          <w:marBottom w:val="0"/>
          <w:divBdr>
            <w:top w:val="none" w:sz="0" w:space="0" w:color="auto"/>
            <w:left w:val="none" w:sz="0" w:space="0" w:color="auto"/>
            <w:bottom w:val="none" w:sz="0" w:space="0" w:color="auto"/>
            <w:right w:val="none" w:sz="0" w:space="0" w:color="auto"/>
          </w:divBdr>
        </w:div>
        <w:div w:id="637612821">
          <w:marLeft w:val="0"/>
          <w:marRight w:val="0"/>
          <w:marTop w:val="0"/>
          <w:marBottom w:val="0"/>
          <w:divBdr>
            <w:top w:val="none" w:sz="0" w:space="0" w:color="auto"/>
            <w:left w:val="none" w:sz="0" w:space="0" w:color="auto"/>
            <w:bottom w:val="none" w:sz="0" w:space="0" w:color="auto"/>
            <w:right w:val="none" w:sz="0" w:space="0" w:color="auto"/>
          </w:divBdr>
        </w:div>
        <w:div w:id="643245121">
          <w:marLeft w:val="0"/>
          <w:marRight w:val="0"/>
          <w:marTop w:val="0"/>
          <w:marBottom w:val="0"/>
          <w:divBdr>
            <w:top w:val="none" w:sz="0" w:space="0" w:color="auto"/>
            <w:left w:val="none" w:sz="0" w:space="0" w:color="auto"/>
            <w:bottom w:val="none" w:sz="0" w:space="0" w:color="auto"/>
            <w:right w:val="none" w:sz="0" w:space="0" w:color="auto"/>
          </w:divBdr>
        </w:div>
        <w:div w:id="670524584">
          <w:marLeft w:val="0"/>
          <w:marRight w:val="0"/>
          <w:marTop w:val="0"/>
          <w:marBottom w:val="0"/>
          <w:divBdr>
            <w:top w:val="none" w:sz="0" w:space="0" w:color="auto"/>
            <w:left w:val="none" w:sz="0" w:space="0" w:color="auto"/>
            <w:bottom w:val="none" w:sz="0" w:space="0" w:color="auto"/>
            <w:right w:val="none" w:sz="0" w:space="0" w:color="auto"/>
          </w:divBdr>
        </w:div>
        <w:div w:id="670763002">
          <w:marLeft w:val="0"/>
          <w:marRight w:val="0"/>
          <w:marTop w:val="0"/>
          <w:marBottom w:val="0"/>
          <w:divBdr>
            <w:top w:val="none" w:sz="0" w:space="0" w:color="auto"/>
            <w:left w:val="none" w:sz="0" w:space="0" w:color="auto"/>
            <w:bottom w:val="none" w:sz="0" w:space="0" w:color="auto"/>
            <w:right w:val="none" w:sz="0" w:space="0" w:color="auto"/>
          </w:divBdr>
        </w:div>
        <w:div w:id="678973456">
          <w:marLeft w:val="0"/>
          <w:marRight w:val="0"/>
          <w:marTop w:val="0"/>
          <w:marBottom w:val="0"/>
          <w:divBdr>
            <w:top w:val="none" w:sz="0" w:space="0" w:color="auto"/>
            <w:left w:val="none" w:sz="0" w:space="0" w:color="auto"/>
            <w:bottom w:val="none" w:sz="0" w:space="0" w:color="auto"/>
            <w:right w:val="none" w:sz="0" w:space="0" w:color="auto"/>
          </w:divBdr>
        </w:div>
        <w:div w:id="680931500">
          <w:marLeft w:val="0"/>
          <w:marRight w:val="0"/>
          <w:marTop w:val="0"/>
          <w:marBottom w:val="0"/>
          <w:divBdr>
            <w:top w:val="none" w:sz="0" w:space="0" w:color="auto"/>
            <w:left w:val="none" w:sz="0" w:space="0" w:color="auto"/>
            <w:bottom w:val="none" w:sz="0" w:space="0" w:color="auto"/>
            <w:right w:val="none" w:sz="0" w:space="0" w:color="auto"/>
          </w:divBdr>
        </w:div>
        <w:div w:id="690380934">
          <w:marLeft w:val="0"/>
          <w:marRight w:val="0"/>
          <w:marTop w:val="0"/>
          <w:marBottom w:val="0"/>
          <w:divBdr>
            <w:top w:val="none" w:sz="0" w:space="0" w:color="auto"/>
            <w:left w:val="none" w:sz="0" w:space="0" w:color="auto"/>
            <w:bottom w:val="none" w:sz="0" w:space="0" w:color="auto"/>
            <w:right w:val="none" w:sz="0" w:space="0" w:color="auto"/>
          </w:divBdr>
        </w:div>
        <w:div w:id="704912691">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730734861">
          <w:marLeft w:val="0"/>
          <w:marRight w:val="0"/>
          <w:marTop w:val="0"/>
          <w:marBottom w:val="0"/>
          <w:divBdr>
            <w:top w:val="none" w:sz="0" w:space="0" w:color="auto"/>
            <w:left w:val="none" w:sz="0" w:space="0" w:color="auto"/>
            <w:bottom w:val="none" w:sz="0" w:space="0" w:color="auto"/>
            <w:right w:val="none" w:sz="0" w:space="0" w:color="auto"/>
          </w:divBdr>
        </w:div>
        <w:div w:id="731929322">
          <w:marLeft w:val="0"/>
          <w:marRight w:val="0"/>
          <w:marTop w:val="0"/>
          <w:marBottom w:val="0"/>
          <w:divBdr>
            <w:top w:val="none" w:sz="0" w:space="0" w:color="auto"/>
            <w:left w:val="none" w:sz="0" w:space="0" w:color="auto"/>
            <w:bottom w:val="none" w:sz="0" w:space="0" w:color="auto"/>
            <w:right w:val="none" w:sz="0" w:space="0" w:color="auto"/>
          </w:divBdr>
        </w:div>
        <w:div w:id="743451704">
          <w:marLeft w:val="0"/>
          <w:marRight w:val="0"/>
          <w:marTop w:val="0"/>
          <w:marBottom w:val="0"/>
          <w:divBdr>
            <w:top w:val="none" w:sz="0" w:space="0" w:color="auto"/>
            <w:left w:val="none" w:sz="0" w:space="0" w:color="auto"/>
            <w:bottom w:val="none" w:sz="0" w:space="0" w:color="auto"/>
            <w:right w:val="none" w:sz="0" w:space="0" w:color="auto"/>
          </w:divBdr>
        </w:div>
        <w:div w:id="749421994">
          <w:marLeft w:val="0"/>
          <w:marRight w:val="0"/>
          <w:marTop w:val="0"/>
          <w:marBottom w:val="0"/>
          <w:divBdr>
            <w:top w:val="none" w:sz="0" w:space="0" w:color="auto"/>
            <w:left w:val="none" w:sz="0" w:space="0" w:color="auto"/>
            <w:bottom w:val="none" w:sz="0" w:space="0" w:color="auto"/>
            <w:right w:val="none" w:sz="0" w:space="0" w:color="auto"/>
          </w:divBdr>
        </w:div>
        <w:div w:id="756441666">
          <w:marLeft w:val="0"/>
          <w:marRight w:val="0"/>
          <w:marTop w:val="0"/>
          <w:marBottom w:val="0"/>
          <w:divBdr>
            <w:top w:val="none" w:sz="0" w:space="0" w:color="auto"/>
            <w:left w:val="none" w:sz="0" w:space="0" w:color="auto"/>
            <w:bottom w:val="none" w:sz="0" w:space="0" w:color="auto"/>
            <w:right w:val="none" w:sz="0" w:space="0" w:color="auto"/>
          </w:divBdr>
        </w:div>
        <w:div w:id="759713054">
          <w:marLeft w:val="0"/>
          <w:marRight w:val="0"/>
          <w:marTop w:val="0"/>
          <w:marBottom w:val="0"/>
          <w:divBdr>
            <w:top w:val="none" w:sz="0" w:space="0" w:color="auto"/>
            <w:left w:val="none" w:sz="0" w:space="0" w:color="auto"/>
            <w:bottom w:val="none" w:sz="0" w:space="0" w:color="auto"/>
            <w:right w:val="none" w:sz="0" w:space="0" w:color="auto"/>
          </w:divBdr>
        </w:div>
        <w:div w:id="761220793">
          <w:marLeft w:val="0"/>
          <w:marRight w:val="0"/>
          <w:marTop w:val="0"/>
          <w:marBottom w:val="0"/>
          <w:divBdr>
            <w:top w:val="none" w:sz="0" w:space="0" w:color="auto"/>
            <w:left w:val="none" w:sz="0" w:space="0" w:color="auto"/>
            <w:bottom w:val="none" w:sz="0" w:space="0" w:color="auto"/>
            <w:right w:val="none" w:sz="0" w:space="0" w:color="auto"/>
          </w:divBdr>
        </w:div>
        <w:div w:id="762069899">
          <w:marLeft w:val="0"/>
          <w:marRight w:val="0"/>
          <w:marTop w:val="0"/>
          <w:marBottom w:val="0"/>
          <w:divBdr>
            <w:top w:val="none" w:sz="0" w:space="0" w:color="auto"/>
            <w:left w:val="none" w:sz="0" w:space="0" w:color="auto"/>
            <w:bottom w:val="none" w:sz="0" w:space="0" w:color="auto"/>
            <w:right w:val="none" w:sz="0" w:space="0" w:color="auto"/>
          </w:divBdr>
        </w:div>
        <w:div w:id="772943457">
          <w:marLeft w:val="0"/>
          <w:marRight w:val="0"/>
          <w:marTop w:val="0"/>
          <w:marBottom w:val="0"/>
          <w:divBdr>
            <w:top w:val="none" w:sz="0" w:space="0" w:color="auto"/>
            <w:left w:val="none" w:sz="0" w:space="0" w:color="auto"/>
            <w:bottom w:val="none" w:sz="0" w:space="0" w:color="auto"/>
            <w:right w:val="none" w:sz="0" w:space="0" w:color="auto"/>
          </w:divBdr>
        </w:div>
        <w:div w:id="773674726">
          <w:marLeft w:val="0"/>
          <w:marRight w:val="0"/>
          <w:marTop w:val="0"/>
          <w:marBottom w:val="0"/>
          <w:divBdr>
            <w:top w:val="none" w:sz="0" w:space="0" w:color="auto"/>
            <w:left w:val="none" w:sz="0" w:space="0" w:color="auto"/>
            <w:bottom w:val="none" w:sz="0" w:space="0" w:color="auto"/>
            <w:right w:val="none" w:sz="0" w:space="0" w:color="auto"/>
          </w:divBdr>
        </w:div>
        <w:div w:id="785082588">
          <w:marLeft w:val="0"/>
          <w:marRight w:val="0"/>
          <w:marTop w:val="0"/>
          <w:marBottom w:val="0"/>
          <w:divBdr>
            <w:top w:val="none" w:sz="0" w:space="0" w:color="auto"/>
            <w:left w:val="none" w:sz="0" w:space="0" w:color="auto"/>
            <w:bottom w:val="none" w:sz="0" w:space="0" w:color="auto"/>
            <w:right w:val="none" w:sz="0" w:space="0" w:color="auto"/>
          </w:divBdr>
        </w:div>
        <w:div w:id="806043826">
          <w:marLeft w:val="0"/>
          <w:marRight w:val="0"/>
          <w:marTop w:val="0"/>
          <w:marBottom w:val="0"/>
          <w:divBdr>
            <w:top w:val="none" w:sz="0" w:space="0" w:color="auto"/>
            <w:left w:val="none" w:sz="0" w:space="0" w:color="auto"/>
            <w:bottom w:val="none" w:sz="0" w:space="0" w:color="auto"/>
            <w:right w:val="none" w:sz="0" w:space="0" w:color="auto"/>
          </w:divBdr>
        </w:div>
        <w:div w:id="808403134">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818377503">
          <w:marLeft w:val="0"/>
          <w:marRight w:val="0"/>
          <w:marTop w:val="0"/>
          <w:marBottom w:val="0"/>
          <w:divBdr>
            <w:top w:val="none" w:sz="0" w:space="0" w:color="auto"/>
            <w:left w:val="none" w:sz="0" w:space="0" w:color="auto"/>
            <w:bottom w:val="none" w:sz="0" w:space="0" w:color="auto"/>
            <w:right w:val="none" w:sz="0" w:space="0" w:color="auto"/>
          </w:divBdr>
        </w:div>
        <w:div w:id="825778380">
          <w:marLeft w:val="0"/>
          <w:marRight w:val="0"/>
          <w:marTop w:val="0"/>
          <w:marBottom w:val="0"/>
          <w:divBdr>
            <w:top w:val="none" w:sz="0" w:space="0" w:color="auto"/>
            <w:left w:val="none" w:sz="0" w:space="0" w:color="auto"/>
            <w:bottom w:val="none" w:sz="0" w:space="0" w:color="auto"/>
            <w:right w:val="none" w:sz="0" w:space="0" w:color="auto"/>
          </w:divBdr>
        </w:div>
        <w:div w:id="852646390">
          <w:marLeft w:val="0"/>
          <w:marRight w:val="0"/>
          <w:marTop w:val="0"/>
          <w:marBottom w:val="0"/>
          <w:divBdr>
            <w:top w:val="none" w:sz="0" w:space="0" w:color="auto"/>
            <w:left w:val="none" w:sz="0" w:space="0" w:color="auto"/>
            <w:bottom w:val="none" w:sz="0" w:space="0" w:color="auto"/>
            <w:right w:val="none" w:sz="0" w:space="0" w:color="auto"/>
          </w:divBdr>
        </w:div>
        <w:div w:id="857087170">
          <w:marLeft w:val="0"/>
          <w:marRight w:val="0"/>
          <w:marTop w:val="0"/>
          <w:marBottom w:val="0"/>
          <w:divBdr>
            <w:top w:val="none" w:sz="0" w:space="0" w:color="auto"/>
            <w:left w:val="none" w:sz="0" w:space="0" w:color="auto"/>
            <w:bottom w:val="none" w:sz="0" w:space="0" w:color="auto"/>
            <w:right w:val="none" w:sz="0" w:space="0" w:color="auto"/>
          </w:divBdr>
        </w:div>
        <w:div w:id="887883224">
          <w:marLeft w:val="0"/>
          <w:marRight w:val="0"/>
          <w:marTop w:val="0"/>
          <w:marBottom w:val="0"/>
          <w:divBdr>
            <w:top w:val="none" w:sz="0" w:space="0" w:color="auto"/>
            <w:left w:val="none" w:sz="0" w:space="0" w:color="auto"/>
            <w:bottom w:val="none" w:sz="0" w:space="0" w:color="auto"/>
            <w:right w:val="none" w:sz="0" w:space="0" w:color="auto"/>
          </w:divBdr>
        </w:div>
        <w:div w:id="889420972">
          <w:marLeft w:val="0"/>
          <w:marRight w:val="0"/>
          <w:marTop w:val="0"/>
          <w:marBottom w:val="0"/>
          <w:divBdr>
            <w:top w:val="none" w:sz="0" w:space="0" w:color="auto"/>
            <w:left w:val="none" w:sz="0" w:space="0" w:color="auto"/>
            <w:bottom w:val="none" w:sz="0" w:space="0" w:color="auto"/>
            <w:right w:val="none" w:sz="0" w:space="0" w:color="auto"/>
          </w:divBdr>
        </w:div>
        <w:div w:id="902519073">
          <w:marLeft w:val="0"/>
          <w:marRight w:val="0"/>
          <w:marTop w:val="0"/>
          <w:marBottom w:val="0"/>
          <w:divBdr>
            <w:top w:val="none" w:sz="0" w:space="0" w:color="auto"/>
            <w:left w:val="none" w:sz="0" w:space="0" w:color="auto"/>
            <w:bottom w:val="none" w:sz="0" w:space="0" w:color="auto"/>
            <w:right w:val="none" w:sz="0" w:space="0" w:color="auto"/>
          </w:divBdr>
        </w:div>
        <w:div w:id="910970346">
          <w:marLeft w:val="0"/>
          <w:marRight w:val="0"/>
          <w:marTop w:val="0"/>
          <w:marBottom w:val="0"/>
          <w:divBdr>
            <w:top w:val="none" w:sz="0" w:space="0" w:color="auto"/>
            <w:left w:val="none" w:sz="0" w:space="0" w:color="auto"/>
            <w:bottom w:val="none" w:sz="0" w:space="0" w:color="auto"/>
            <w:right w:val="none" w:sz="0" w:space="0" w:color="auto"/>
          </w:divBdr>
        </w:div>
        <w:div w:id="912351266">
          <w:marLeft w:val="0"/>
          <w:marRight w:val="0"/>
          <w:marTop w:val="0"/>
          <w:marBottom w:val="0"/>
          <w:divBdr>
            <w:top w:val="none" w:sz="0" w:space="0" w:color="auto"/>
            <w:left w:val="none" w:sz="0" w:space="0" w:color="auto"/>
            <w:bottom w:val="none" w:sz="0" w:space="0" w:color="auto"/>
            <w:right w:val="none" w:sz="0" w:space="0" w:color="auto"/>
          </w:divBdr>
        </w:div>
        <w:div w:id="920600202">
          <w:marLeft w:val="0"/>
          <w:marRight w:val="0"/>
          <w:marTop w:val="0"/>
          <w:marBottom w:val="0"/>
          <w:divBdr>
            <w:top w:val="none" w:sz="0" w:space="0" w:color="auto"/>
            <w:left w:val="none" w:sz="0" w:space="0" w:color="auto"/>
            <w:bottom w:val="none" w:sz="0" w:space="0" w:color="auto"/>
            <w:right w:val="none" w:sz="0" w:space="0" w:color="auto"/>
          </w:divBdr>
        </w:div>
        <w:div w:id="934678568">
          <w:marLeft w:val="0"/>
          <w:marRight w:val="0"/>
          <w:marTop w:val="0"/>
          <w:marBottom w:val="0"/>
          <w:divBdr>
            <w:top w:val="none" w:sz="0" w:space="0" w:color="auto"/>
            <w:left w:val="none" w:sz="0" w:space="0" w:color="auto"/>
            <w:bottom w:val="none" w:sz="0" w:space="0" w:color="auto"/>
            <w:right w:val="none" w:sz="0" w:space="0" w:color="auto"/>
          </w:divBdr>
        </w:div>
        <w:div w:id="945310471">
          <w:marLeft w:val="0"/>
          <w:marRight w:val="0"/>
          <w:marTop w:val="0"/>
          <w:marBottom w:val="0"/>
          <w:divBdr>
            <w:top w:val="none" w:sz="0" w:space="0" w:color="auto"/>
            <w:left w:val="none" w:sz="0" w:space="0" w:color="auto"/>
            <w:bottom w:val="none" w:sz="0" w:space="0" w:color="auto"/>
            <w:right w:val="none" w:sz="0" w:space="0" w:color="auto"/>
          </w:divBdr>
        </w:div>
        <w:div w:id="981271620">
          <w:marLeft w:val="0"/>
          <w:marRight w:val="0"/>
          <w:marTop w:val="0"/>
          <w:marBottom w:val="0"/>
          <w:divBdr>
            <w:top w:val="none" w:sz="0" w:space="0" w:color="auto"/>
            <w:left w:val="none" w:sz="0" w:space="0" w:color="auto"/>
            <w:bottom w:val="none" w:sz="0" w:space="0" w:color="auto"/>
            <w:right w:val="none" w:sz="0" w:space="0" w:color="auto"/>
          </w:divBdr>
        </w:div>
        <w:div w:id="982388117">
          <w:marLeft w:val="0"/>
          <w:marRight w:val="0"/>
          <w:marTop w:val="0"/>
          <w:marBottom w:val="0"/>
          <w:divBdr>
            <w:top w:val="none" w:sz="0" w:space="0" w:color="auto"/>
            <w:left w:val="none" w:sz="0" w:space="0" w:color="auto"/>
            <w:bottom w:val="none" w:sz="0" w:space="0" w:color="auto"/>
            <w:right w:val="none" w:sz="0" w:space="0" w:color="auto"/>
          </w:divBdr>
        </w:div>
        <w:div w:id="995230159">
          <w:marLeft w:val="0"/>
          <w:marRight w:val="0"/>
          <w:marTop w:val="0"/>
          <w:marBottom w:val="0"/>
          <w:divBdr>
            <w:top w:val="none" w:sz="0" w:space="0" w:color="auto"/>
            <w:left w:val="none" w:sz="0" w:space="0" w:color="auto"/>
            <w:bottom w:val="none" w:sz="0" w:space="0" w:color="auto"/>
            <w:right w:val="none" w:sz="0" w:space="0" w:color="auto"/>
          </w:divBdr>
        </w:div>
        <w:div w:id="1001085167">
          <w:marLeft w:val="0"/>
          <w:marRight w:val="0"/>
          <w:marTop w:val="0"/>
          <w:marBottom w:val="0"/>
          <w:divBdr>
            <w:top w:val="none" w:sz="0" w:space="0" w:color="auto"/>
            <w:left w:val="none" w:sz="0" w:space="0" w:color="auto"/>
            <w:bottom w:val="none" w:sz="0" w:space="0" w:color="auto"/>
            <w:right w:val="none" w:sz="0" w:space="0" w:color="auto"/>
          </w:divBdr>
        </w:div>
        <w:div w:id="1011297810">
          <w:marLeft w:val="0"/>
          <w:marRight w:val="0"/>
          <w:marTop w:val="0"/>
          <w:marBottom w:val="0"/>
          <w:divBdr>
            <w:top w:val="none" w:sz="0" w:space="0" w:color="auto"/>
            <w:left w:val="none" w:sz="0" w:space="0" w:color="auto"/>
            <w:bottom w:val="none" w:sz="0" w:space="0" w:color="auto"/>
            <w:right w:val="none" w:sz="0" w:space="0" w:color="auto"/>
          </w:divBdr>
        </w:div>
        <w:div w:id="1011303198">
          <w:marLeft w:val="0"/>
          <w:marRight w:val="0"/>
          <w:marTop w:val="0"/>
          <w:marBottom w:val="0"/>
          <w:divBdr>
            <w:top w:val="none" w:sz="0" w:space="0" w:color="auto"/>
            <w:left w:val="none" w:sz="0" w:space="0" w:color="auto"/>
            <w:bottom w:val="none" w:sz="0" w:space="0" w:color="auto"/>
            <w:right w:val="none" w:sz="0" w:space="0" w:color="auto"/>
          </w:divBdr>
        </w:div>
        <w:div w:id="1015421445">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37045901">
          <w:marLeft w:val="0"/>
          <w:marRight w:val="0"/>
          <w:marTop w:val="0"/>
          <w:marBottom w:val="0"/>
          <w:divBdr>
            <w:top w:val="none" w:sz="0" w:space="0" w:color="auto"/>
            <w:left w:val="none" w:sz="0" w:space="0" w:color="auto"/>
            <w:bottom w:val="none" w:sz="0" w:space="0" w:color="auto"/>
            <w:right w:val="none" w:sz="0" w:space="0" w:color="auto"/>
          </w:divBdr>
        </w:div>
        <w:div w:id="1039208359">
          <w:marLeft w:val="0"/>
          <w:marRight w:val="0"/>
          <w:marTop w:val="0"/>
          <w:marBottom w:val="0"/>
          <w:divBdr>
            <w:top w:val="none" w:sz="0" w:space="0" w:color="auto"/>
            <w:left w:val="none" w:sz="0" w:space="0" w:color="auto"/>
            <w:bottom w:val="none" w:sz="0" w:space="0" w:color="auto"/>
            <w:right w:val="none" w:sz="0" w:space="0" w:color="auto"/>
          </w:divBdr>
        </w:div>
        <w:div w:id="1040207083">
          <w:marLeft w:val="0"/>
          <w:marRight w:val="0"/>
          <w:marTop w:val="0"/>
          <w:marBottom w:val="0"/>
          <w:divBdr>
            <w:top w:val="none" w:sz="0" w:space="0" w:color="auto"/>
            <w:left w:val="none" w:sz="0" w:space="0" w:color="auto"/>
            <w:bottom w:val="none" w:sz="0" w:space="0" w:color="auto"/>
            <w:right w:val="none" w:sz="0" w:space="0" w:color="auto"/>
          </w:divBdr>
        </w:div>
        <w:div w:id="1050375366">
          <w:marLeft w:val="0"/>
          <w:marRight w:val="0"/>
          <w:marTop w:val="0"/>
          <w:marBottom w:val="0"/>
          <w:divBdr>
            <w:top w:val="none" w:sz="0" w:space="0" w:color="auto"/>
            <w:left w:val="none" w:sz="0" w:space="0" w:color="auto"/>
            <w:bottom w:val="none" w:sz="0" w:space="0" w:color="auto"/>
            <w:right w:val="none" w:sz="0" w:space="0" w:color="auto"/>
          </w:divBdr>
        </w:div>
        <w:div w:id="1071390397">
          <w:marLeft w:val="0"/>
          <w:marRight w:val="0"/>
          <w:marTop w:val="0"/>
          <w:marBottom w:val="0"/>
          <w:divBdr>
            <w:top w:val="none" w:sz="0" w:space="0" w:color="auto"/>
            <w:left w:val="none" w:sz="0" w:space="0" w:color="auto"/>
            <w:bottom w:val="none" w:sz="0" w:space="0" w:color="auto"/>
            <w:right w:val="none" w:sz="0" w:space="0" w:color="auto"/>
          </w:divBdr>
        </w:div>
        <w:div w:id="1072628259">
          <w:marLeft w:val="0"/>
          <w:marRight w:val="0"/>
          <w:marTop w:val="0"/>
          <w:marBottom w:val="0"/>
          <w:divBdr>
            <w:top w:val="none" w:sz="0" w:space="0" w:color="auto"/>
            <w:left w:val="none" w:sz="0" w:space="0" w:color="auto"/>
            <w:bottom w:val="none" w:sz="0" w:space="0" w:color="auto"/>
            <w:right w:val="none" w:sz="0" w:space="0" w:color="auto"/>
          </w:divBdr>
        </w:div>
        <w:div w:id="1083987324">
          <w:marLeft w:val="0"/>
          <w:marRight w:val="0"/>
          <w:marTop w:val="0"/>
          <w:marBottom w:val="0"/>
          <w:divBdr>
            <w:top w:val="none" w:sz="0" w:space="0" w:color="auto"/>
            <w:left w:val="none" w:sz="0" w:space="0" w:color="auto"/>
            <w:bottom w:val="none" w:sz="0" w:space="0" w:color="auto"/>
            <w:right w:val="none" w:sz="0" w:space="0" w:color="auto"/>
          </w:divBdr>
        </w:div>
        <w:div w:id="1085303351">
          <w:marLeft w:val="0"/>
          <w:marRight w:val="0"/>
          <w:marTop w:val="0"/>
          <w:marBottom w:val="0"/>
          <w:divBdr>
            <w:top w:val="none" w:sz="0" w:space="0" w:color="auto"/>
            <w:left w:val="none" w:sz="0" w:space="0" w:color="auto"/>
            <w:bottom w:val="none" w:sz="0" w:space="0" w:color="auto"/>
            <w:right w:val="none" w:sz="0" w:space="0" w:color="auto"/>
          </w:divBdr>
        </w:div>
        <w:div w:id="1124344405">
          <w:marLeft w:val="0"/>
          <w:marRight w:val="0"/>
          <w:marTop w:val="0"/>
          <w:marBottom w:val="0"/>
          <w:divBdr>
            <w:top w:val="none" w:sz="0" w:space="0" w:color="auto"/>
            <w:left w:val="none" w:sz="0" w:space="0" w:color="auto"/>
            <w:bottom w:val="none" w:sz="0" w:space="0" w:color="auto"/>
            <w:right w:val="none" w:sz="0" w:space="0" w:color="auto"/>
          </w:divBdr>
        </w:div>
        <w:div w:id="1131509755">
          <w:marLeft w:val="0"/>
          <w:marRight w:val="0"/>
          <w:marTop w:val="0"/>
          <w:marBottom w:val="0"/>
          <w:divBdr>
            <w:top w:val="none" w:sz="0" w:space="0" w:color="auto"/>
            <w:left w:val="none" w:sz="0" w:space="0" w:color="auto"/>
            <w:bottom w:val="none" w:sz="0" w:space="0" w:color="auto"/>
            <w:right w:val="none" w:sz="0" w:space="0" w:color="auto"/>
          </w:divBdr>
        </w:div>
        <w:div w:id="1137533536">
          <w:marLeft w:val="0"/>
          <w:marRight w:val="0"/>
          <w:marTop w:val="0"/>
          <w:marBottom w:val="0"/>
          <w:divBdr>
            <w:top w:val="none" w:sz="0" w:space="0" w:color="auto"/>
            <w:left w:val="none" w:sz="0" w:space="0" w:color="auto"/>
            <w:bottom w:val="none" w:sz="0" w:space="0" w:color="auto"/>
            <w:right w:val="none" w:sz="0" w:space="0" w:color="auto"/>
          </w:divBdr>
        </w:div>
        <w:div w:id="1157918887">
          <w:marLeft w:val="0"/>
          <w:marRight w:val="0"/>
          <w:marTop w:val="0"/>
          <w:marBottom w:val="0"/>
          <w:divBdr>
            <w:top w:val="none" w:sz="0" w:space="0" w:color="auto"/>
            <w:left w:val="none" w:sz="0" w:space="0" w:color="auto"/>
            <w:bottom w:val="none" w:sz="0" w:space="0" w:color="auto"/>
            <w:right w:val="none" w:sz="0" w:space="0" w:color="auto"/>
          </w:divBdr>
        </w:div>
        <w:div w:id="1158839693">
          <w:marLeft w:val="0"/>
          <w:marRight w:val="0"/>
          <w:marTop w:val="0"/>
          <w:marBottom w:val="0"/>
          <w:divBdr>
            <w:top w:val="none" w:sz="0" w:space="0" w:color="auto"/>
            <w:left w:val="none" w:sz="0" w:space="0" w:color="auto"/>
            <w:bottom w:val="none" w:sz="0" w:space="0" w:color="auto"/>
            <w:right w:val="none" w:sz="0" w:space="0" w:color="auto"/>
          </w:divBdr>
        </w:div>
        <w:div w:id="1158958901">
          <w:marLeft w:val="0"/>
          <w:marRight w:val="0"/>
          <w:marTop w:val="0"/>
          <w:marBottom w:val="0"/>
          <w:divBdr>
            <w:top w:val="none" w:sz="0" w:space="0" w:color="auto"/>
            <w:left w:val="none" w:sz="0" w:space="0" w:color="auto"/>
            <w:bottom w:val="none" w:sz="0" w:space="0" w:color="auto"/>
            <w:right w:val="none" w:sz="0" w:space="0" w:color="auto"/>
          </w:divBdr>
        </w:div>
        <w:div w:id="1167986129">
          <w:marLeft w:val="0"/>
          <w:marRight w:val="0"/>
          <w:marTop w:val="0"/>
          <w:marBottom w:val="0"/>
          <w:divBdr>
            <w:top w:val="none" w:sz="0" w:space="0" w:color="auto"/>
            <w:left w:val="none" w:sz="0" w:space="0" w:color="auto"/>
            <w:bottom w:val="none" w:sz="0" w:space="0" w:color="auto"/>
            <w:right w:val="none" w:sz="0" w:space="0" w:color="auto"/>
          </w:divBdr>
        </w:div>
        <w:div w:id="1173564400">
          <w:marLeft w:val="0"/>
          <w:marRight w:val="0"/>
          <w:marTop w:val="0"/>
          <w:marBottom w:val="0"/>
          <w:divBdr>
            <w:top w:val="none" w:sz="0" w:space="0" w:color="auto"/>
            <w:left w:val="none" w:sz="0" w:space="0" w:color="auto"/>
            <w:bottom w:val="none" w:sz="0" w:space="0" w:color="auto"/>
            <w:right w:val="none" w:sz="0" w:space="0" w:color="auto"/>
          </w:divBdr>
        </w:div>
        <w:div w:id="1178469866">
          <w:marLeft w:val="0"/>
          <w:marRight w:val="0"/>
          <w:marTop w:val="0"/>
          <w:marBottom w:val="0"/>
          <w:divBdr>
            <w:top w:val="none" w:sz="0" w:space="0" w:color="auto"/>
            <w:left w:val="none" w:sz="0" w:space="0" w:color="auto"/>
            <w:bottom w:val="none" w:sz="0" w:space="0" w:color="auto"/>
            <w:right w:val="none" w:sz="0" w:space="0" w:color="auto"/>
          </w:divBdr>
        </w:div>
        <w:div w:id="1184243900">
          <w:marLeft w:val="0"/>
          <w:marRight w:val="0"/>
          <w:marTop w:val="0"/>
          <w:marBottom w:val="0"/>
          <w:divBdr>
            <w:top w:val="none" w:sz="0" w:space="0" w:color="auto"/>
            <w:left w:val="none" w:sz="0" w:space="0" w:color="auto"/>
            <w:bottom w:val="none" w:sz="0" w:space="0" w:color="auto"/>
            <w:right w:val="none" w:sz="0" w:space="0" w:color="auto"/>
          </w:divBdr>
        </w:div>
        <w:div w:id="1187330205">
          <w:marLeft w:val="0"/>
          <w:marRight w:val="0"/>
          <w:marTop w:val="0"/>
          <w:marBottom w:val="0"/>
          <w:divBdr>
            <w:top w:val="none" w:sz="0" w:space="0" w:color="auto"/>
            <w:left w:val="none" w:sz="0" w:space="0" w:color="auto"/>
            <w:bottom w:val="none" w:sz="0" w:space="0" w:color="auto"/>
            <w:right w:val="none" w:sz="0" w:space="0" w:color="auto"/>
          </w:divBdr>
        </w:div>
        <w:div w:id="1191802705">
          <w:marLeft w:val="0"/>
          <w:marRight w:val="0"/>
          <w:marTop w:val="0"/>
          <w:marBottom w:val="0"/>
          <w:divBdr>
            <w:top w:val="none" w:sz="0" w:space="0" w:color="auto"/>
            <w:left w:val="none" w:sz="0" w:space="0" w:color="auto"/>
            <w:bottom w:val="none" w:sz="0" w:space="0" w:color="auto"/>
            <w:right w:val="none" w:sz="0" w:space="0" w:color="auto"/>
          </w:divBdr>
        </w:div>
        <w:div w:id="1192187564">
          <w:marLeft w:val="0"/>
          <w:marRight w:val="0"/>
          <w:marTop w:val="0"/>
          <w:marBottom w:val="0"/>
          <w:divBdr>
            <w:top w:val="none" w:sz="0" w:space="0" w:color="auto"/>
            <w:left w:val="none" w:sz="0" w:space="0" w:color="auto"/>
            <w:bottom w:val="none" w:sz="0" w:space="0" w:color="auto"/>
            <w:right w:val="none" w:sz="0" w:space="0" w:color="auto"/>
          </w:divBdr>
        </w:div>
        <w:div w:id="1204555206">
          <w:marLeft w:val="0"/>
          <w:marRight w:val="0"/>
          <w:marTop w:val="0"/>
          <w:marBottom w:val="0"/>
          <w:divBdr>
            <w:top w:val="none" w:sz="0" w:space="0" w:color="auto"/>
            <w:left w:val="none" w:sz="0" w:space="0" w:color="auto"/>
            <w:bottom w:val="none" w:sz="0" w:space="0" w:color="auto"/>
            <w:right w:val="none" w:sz="0" w:space="0" w:color="auto"/>
          </w:divBdr>
        </w:div>
        <w:div w:id="1208906805">
          <w:marLeft w:val="0"/>
          <w:marRight w:val="0"/>
          <w:marTop w:val="0"/>
          <w:marBottom w:val="0"/>
          <w:divBdr>
            <w:top w:val="none" w:sz="0" w:space="0" w:color="auto"/>
            <w:left w:val="none" w:sz="0" w:space="0" w:color="auto"/>
            <w:bottom w:val="none" w:sz="0" w:space="0" w:color="auto"/>
            <w:right w:val="none" w:sz="0" w:space="0" w:color="auto"/>
          </w:divBdr>
        </w:div>
        <w:div w:id="1211697219">
          <w:marLeft w:val="0"/>
          <w:marRight w:val="0"/>
          <w:marTop w:val="0"/>
          <w:marBottom w:val="0"/>
          <w:divBdr>
            <w:top w:val="none" w:sz="0" w:space="0" w:color="auto"/>
            <w:left w:val="none" w:sz="0" w:space="0" w:color="auto"/>
            <w:bottom w:val="none" w:sz="0" w:space="0" w:color="auto"/>
            <w:right w:val="none" w:sz="0" w:space="0" w:color="auto"/>
          </w:divBdr>
        </w:div>
        <w:div w:id="1276474721">
          <w:marLeft w:val="0"/>
          <w:marRight w:val="0"/>
          <w:marTop w:val="0"/>
          <w:marBottom w:val="0"/>
          <w:divBdr>
            <w:top w:val="none" w:sz="0" w:space="0" w:color="auto"/>
            <w:left w:val="none" w:sz="0" w:space="0" w:color="auto"/>
            <w:bottom w:val="none" w:sz="0" w:space="0" w:color="auto"/>
            <w:right w:val="none" w:sz="0" w:space="0" w:color="auto"/>
          </w:divBdr>
        </w:div>
        <w:div w:id="1278640077">
          <w:marLeft w:val="0"/>
          <w:marRight w:val="0"/>
          <w:marTop w:val="0"/>
          <w:marBottom w:val="0"/>
          <w:divBdr>
            <w:top w:val="none" w:sz="0" w:space="0" w:color="auto"/>
            <w:left w:val="none" w:sz="0" w:space="0" w:color="auto"/>
            <w:bottom w:val="none" w:sz="0" w:space="0" w:color="auto"/>
            <w:right w:val="none" w:sz="0" w:space="0" w:color="auto"/>
          </w:divBdr>
        </w:div>
        <w:div w:id="1278679280">
          <w:marLeft w:val="0"/>
          <w:marRight w:val="0"/>
          <w:marTop w:val="0"/>
          <w:marBottom w:val="0"/>
          <w:divBdr>
            <w:top w:val="none" w:sz="0" w:space="0" w:color="auto"/>
            <w:left w:val="none" w:sz="0" w:space="0" w:color="auto"/>
            <w:bottom w:val="none" w:sz="0" w:space="0" w:color="auto"/>
            <w:right w:val="none" w:sz="0" w:space="0" w:color="auto"/>
          </w:divBdr>
        </w:div>
        <w:div w:id="1286497995">
          <w:marLeft w:val="0"/>
          <w:marRight w:val="0"/>
          <w:marTop w:val="0"/>
          <w:marBottom w:val="0"/>
          <w:divBdr>
            <w:top w:val="none" w:sz="0" w:space="0" w:color="auto"/>
            <w:left w:val="none" w:sz="0" w:space="0" w:color="auto"/>
            <w:bottom w:val="none" w:sz="0" w:space="0" w:color="auto"/>
            <w:right w:val="none" w:sz="0" w:space="0" w:color="auto"/>
          </w:divBdr>
        </w:div>
        <w:div w:id="1296717343">
          <w:marLeft w:val="0"/>
          <w:marRight w:val="0"/>
          <w:marTop w:val="0"/>
          <w:marBottom w:val="0"/>
          <w:divBdr>
            <w:top w:val="none" w:sz="0" w:space="0" w:color="auto"/>
            <w:left w:val="none" w:sz="0" w:space="0" w:color="auto"/>
            <w:bottom w:val="none" w:sz="0" w:space="0" w:color="auto"/>
            <w:right w:val="none" w:sz="0" w:space="0" w:color="auto"/>
          </w:divBdr>
        </w:div>
        <w:div w:id="1303268904">
          <w:marLeft w:val="0"/>
          <w:marRight w:val="0"/>
          <w:marTop w:val="0"/>
          <w:marBottom w:val="0"/>
          <w:divBdr>
            <w:top w:val="none" w:sz="0" w:space="0" w:color="auto"/>
            <w:left w:val="none" w:sz="0" w:space="0" w:color="auto"/>
            <w:bottom w:val="none" w:sz="0" w:space="0" w:color="auto"/>
            <w:right w:val="none" w:sz="0" w:space="0" w:color="auto"/>
          </w:divBdr>
        </w:div>
        <w:div w:id="1305503970">
          <w:marLeft w:val="0"/>
          <w:marRight w:val="0"/>
          <w:marTop w:val="0"/>
          <w:marBottom w:val="0"/>
          <w:divBdr>
            <w:top w:val="none" w:sz="0" w:space="0" w:color="auto"/>
            <w:left w:val="none" w:sz="0" w:space="0" w:color="auto"/>
            <w:bottom w:val="none" w:sz="0" w:space="0" w:color="auto"/>
            <w:right w:val="none" w:sz="0" w:space="0" w:color="auto"/>
          </w:divBdr>
        </w:div>
        <w:div w:id="1308048600">
          <w:marLeft w:val="0"/>
          <w:marRight w:val="0"/>
          <w:marTop w:val="0"/>
          <w:marBottom w:val="0"/>
          <w:divBdr>
            <w:top w:val="none" w:sz="0" w:space="0" w:color="auto"/>
            <w:left w:val="none" w:sz="0" w:space="0" w:color="auto"/>
            <w:bottom w:val="none" w:sz="0" w:space="0" w:color="auto"/>
            <w:right w:val="none" w:sz="0" w:space="0" w:color="auto"/>
          </w:divBdr>
        </w:div>
        <w:div w:id="1311132963">
          <w:marLeft w:val="0"/>
          <w:marRight w:val="0"/>
          <w:marTop w:val="0"/>
          <w:marBottom w:val="0"/>
          <w:divBdr>
            <w:top w:val="none" w:sz="0" w:space="0" w:color="auto"/>
            <w:left w:val="none" w:sz="0" w:space="0" w:color="auto"/>
            <w:bottom w:val="none" w:sz="0" w:space="0" w:color="auto"/>
            <w:right w:val="none" w:sz="0" w:space="0" w:color="auto"/>
          </w:divBdr>
        </w:div>
        <w:div w:id="1312833474">
          <w:marLeft w:val="0"/>
          <w:marRight w:val="0"/>
          <w:marTop w:val="0"/>
          <w:marBottom w:val="0"/>
          <w:divBdr>
            <w:top w:val="none" w:sz="0" w:space="0" w:color="auto"/>
            <w:left w:val="none" w:sz="0" w:space="0" w:color="auto"/>
            <w:bottom w:val="none" w:sz="0" w:space="0" w:color="auto"/>
            <w:right w:val="none" w:sz="0" w:space="0" w:color="auto"/>
          </w:divBdr>
        </w:div>
        <w:div w:id="1313291013">
          <w:marLeft w:val="0"/>
          <w:marRight w:val="0"/>
          <w:marTop w:val="0"/>
          <w:marBottom w:val="0"/>
          <w:divBdr>
            <w:top w:val="none" w:sz="0" w:space="0" w:color="auto"/>
            <w:left w:val="none" w:sz="0" w:space="0" w:color="auto"/>
            <w:bottom w:val="none" w:sz="0" w:space="0" w:color="auto"/>
            <w:right w:val="none" w:sz="0" w:space="0" w:color="auto"/>
          </w:divBdr>
        </w:div>
        <w:div w:id="1313364798">
          <w:marLeft w:val="0"/>
          <w:marRight w:val="0"/>
          <w:marTop w:val="0"/>
          <w:marBottom w:val="0"/>
          <w:divBdr>
            <w:top w:val="none" w:sz="0" w:space="0" w:color="auto"/>
            <w:left w:val="none" w:sz="0" w:space="0" w:color="auto"/>
            <w:bottom w:val="none" w:sz="0" w:space="0" w:color="auto"/>
            <w:right w:val="none" w:sz="0" w:space="0" w:color="auto"/>
          </w:divBdr>
        </w:div>
        <w:div w:id="1317606156">
          <w:marLeft w:val="0"/>
          <w:marRight w:val="0"/>
          <w:marTop w:val="0"/>
          <w:marBottom w:val="0"/>
          <w:divBdr>
            <w:top w:val="none" w:sz="0" w:space="0" w:color="auto"/>
            <w:left w:val="none" w:sz="0" w:space="0" w:color="auto"/>
            <w:bottom w:val="none" w:sz="0" w:space="0" w:color="auto"/>
            <w:right w:val="none" w:sz="0" w:space="0" w:color="auto"/>
          </w:divBdr>
        </w:div>
        <w:div w:id="1321807328">
          <w:marLeft w:val="0"/>
          <w:marRight w:val="0"/>
          <w:marTop w:val="0"/>
          <w:marBottom w:val="0"/>
          <w:divBdr>
            <w:top w:val="none" w:sz="0" w:space="0" w:color="auto"/>
            <w:left w:val="none" w:sz="0" w:space="0" w:color="auto"/>
            <w:bottom w:val="none" w:sz="0" w:space="0" w:color="auto"/>
            <w:right w:val="none" w:sz="0" w:space="0" w:color="auto"/>
          </w:divBdr>
        </w:div>
        <w:div w:id="1363167955">
          <w:marLeft w:val="0"/>
          <w:marRight w:val="0"/>
          <w:marTop w:val="0"/>
          <w:marBottom w:val="0"/>
          <w:divBdr>
            <w:top w:val="none" w:sz="0" w:space="0" w:color="auto"/>
            <w:left w:val="none" w:sz="0" w:space="0" w:color="auto"/>
            <w:bottom w:val="none" w:sz="0" w:space="0" w:color="auto"/>
            <w:right w:val="none" w:sz="0" w:space="0" w:color="auto"/>
          </w:divBdr>
        </w:div>
        <w:div w:id="1373263968">
          <w:marLeft w:val="0"/>
          <w:marRight w:val="0"/>
          <w:marTop w:val="0"/>
          <w:marBottom w:val="0"/>
          <w:divBdr>
            <w:top w:val="none" w:sz="0" w:space="0" w:color="auto"/>
            <w:left w:val="none" w:sz="0" w:space="0" w:color="auto"/>
            <w:bottom w:val="none" w:sz="0" w:space="0" w:color="auto"/>
            <w:right w:val="none" w:sz="0" w:space="0" w:color="auto"/>
          </w:divBdr>
        </w:div>
        <w:div w:id="1375080698">
          <w:marLeft w:val="0"/>
          <w:marRight w:val="0"/>
          <w:marTop w:val="0"/>
          <w:marBottom w:val="0"/>
          <w:divBdr>
            <w:top w:val="none" w:sz="0" w:space="0" w:color="auto"/>
            <w:left w:val="none" w:sz="0" w:space="0" w:color="auto"/>
            <w:bottom w:val="none" w:sz="0" w:space="0" w:color="auto"/>
            <w:right w:val="none" w:sz="0" w:space="0" w:color="auto"/>
          </w:divBdr>
        </w:div>
        <w:div w:id="1377313310">
          <w:marLeft w:val="0"/>
          <w:marRight w:val="0"/>
          <w:marTop w:val="0"/>
          <w:marBottom w:val="0"/>
          <w:divBdr>
            <w:top w:val="none" w:sz="0" w:space="0" w:color="auto"/>
            <w:left w:val="none" w:sz="0" w:space="0" w:color="auto"/>
            <w:bottom w:val="none" w:sz="0" w:space="0" w:color="auto"/>
            <w:right w:val="none" w:sz="0" w:space="0" w:color="auto"/>
          </w:divBdr>
        </w:div>
        <w:div w:id="1404908496">
          <w:marLeft w:val="0"/>
          <w:marRight w:val="0"/>
          <w:marTop w:val="0"/>
          <w:marBottom w:val="0"/>
          <w:divBdr>
            <w:top w:val="none" w:sz="0" w:space="0" w:color="auto"/>
            <w:left w:val="none" w:sz="0" w:space="0" w:color="auto"/>
            <w:bottom w:val="none" w:sz="0" w:space="0" w:color="auto"/>
            <w:right w:val="none" w:sz="0" w:space="0" w:color="auto"/>
          </w:divBdr>
        </w:div>
        <w:div w:id="1436897543">
          <w:marLeft w:val="0"/>
          <w:marRight w:val="0"/>
          <w:marTop w:val="0"/>
          <w:marBottom w:val="0"/>
          <w:divBdr>
            <w:top w:val="none" w:sz="0" w:space="0" w:color="auto"/>
            <w:left w:val="none" w:sz="0" w:space="0" w:color="auto"/>
            <w:bottom w:val="none" w:sz="0" w:space="0" w:color="auto"/>
            <w:right w:val="none" w:sz="0" w:space="0" w:color="auto"/>
          </w:divBdr>
        </w:div>
        <w:div w:id="1437478266">
          <w:marLeft w:val="0"/>
          <w:marRight w:val="0"/>
          <w:marTop w:val="0"/>
          <w:marBottom w:val="0"/>
          <w:divBdr>
            <w:top w:val="none" w:sz="0" w:space="0" w:color="auto"/>
            <w:left w:val="none" w:sz="0" w:space="0" w:color="auto"/>
            <w:bottom w:val="none" w:sz="0" w:space="0" w:color="auto"/>
            <w:right w:val="none" w:sz="0" w:space="0" w:color="auto"/>
          </w:divBdr>
        </w:div>
        <w:div w:id="1439369358">
          <w:marLeft w:val="0"/>
          <w:marRight w:val="0"/>
          <w:marTop w:val="0"/>
          <w:marBottom w:val="0"/>
          <w:divBdr>
            <w:top w:val="none" w:sz="0" w:space="0" w:color="auto"/>
            <w:left w:val="none" w:sz="0" w:space="0" w:color="auto"/>
            <w:bottom w:val="none" w:sz="0" w:space="0" w:color="auto"/>
            <w:right w:val="none" w:sz="0" w:space="0" w:color="auto"/>
          </w:divBdr>
        </w:div>
        <w:div w:id="1457338086">
          <w:marLeft w:val="0"/>
          <w:marRight w:val="0"/>
          <w:marTop w:val="0"/>
          <w:marBottom w:val="0"/>
          <w:divBdr>
            <w:top w:val="none" w:sz="0" w:space="0" w:color="auto"/>
            <w:left w:val="none" w:sz="0" w:space="0" w:color="auto"/>
            <w:bottom w:val="none" w:sz="0" w:space="0" w:color="auto"/>
            <w:right w:val="none" w:sz="0" w:space="0" w:color="auto"/>
          </w:divBdr>
        </w:div>
        <w:div w:id="1468863217">
          <w:marLeft w:val="0"/>
          <w:marRight w:val="0"/>
          <w:marTop w:val="0"/>
          <w:marBottom w:val="0"/>
          <w:divBdr>
            <w:top w:val="none" w:sz="0" w:space="0" w:color="auto"/>
            <w:left w:val="none" w:sz="0" w:space="0" w:color="auto"/>
            <w:bottom w:val="none" w:sz="0" w:space="0" w:color="auto"/>
            <w:right w:val="none" w:sz="0" w:space="0" w:color="auto"/>
          </w:divBdr>
        </w:div>
        <w:div w:id="1470241649">
          <w:marLeft w:val="0"/>
          <w:marRight w:val="0"/>
          <w:marTop w:val="0"/>
          <w:marBottom w:val="0"/>
          <w:divBdr>
            <w:top w:val="none" w:sz="0" w:space="0" w:color="auto"/>
            <w:left w:val="none" w:sz="0" w:space="0" w:color="auto"/>
            <w:bottom w:val="none" w:sz="0" w:space="0" w:color="auto"/>
            <w:right w:val="none" w:sz="0" w:space="0" w:color="auto"/>
          </w:divBdr>
        </w:div>
        <w:div w:id="1476725387">
          <w:marLeft w:val="0"/>
          <w:marRight w:val="0"/>
          <w:marTop w:val="0"/>
          <w:marBottom w:val="0"/>
          <w:divBdr>
            <w:top w:val="none" w:sz="0" w:space="0" w:color="auto"/>
            <w:left w:val="none" w:sz="0" w:space="0" w:color="auto"/>
            <w:bottom w:val="none" w:sz="0" w:space="0" w:color="auto"/>
            <w:right w:val="none" w:sz="0" w:space="0" w:color="auto"/>
          </w:divBdr>
        </w:div>
        <w:div w:id="1479611166">
          <w:marLeft w:val="0"/>
          <w:marRight w:val="0"/>
          <w:marTop w:val="0"/>
          <w:marBottom w:val="0"/>
          <w:divBdr>
            <w:top w:val="none" w:sz="0" w:space="0" w:color="auto"/>
            <w:left w:val="none" w:sz="0" w:space="0" w:color="auto"/>
            <w:bottom w:val="none" w:sz="0" w:space="0" w:color="auto"/>
            <w:right w:val="none" w:sz="0" w:space="0" w:color="auto"/>
          </w:divBdr>
        </w:div>
        <w:div w:id="1493334205">
          <w:marLeft w:val="0"/>
          <w:marRight w:val="0"/>
          <w:marTop w:val="0"/>
          <w:marBottom w:val="0"/>
          <w:divBdr>
            <w:top w:val="none" w:sz="0" w:space="0" w:color="auto"/>
            <w:left w:val="none" w:sz="0" w:space="0" w:color="auto"/>
            <w:bottom w:val="none" w:sz="0" w:space="0" w:color="auto"/>
            <w:right w:val="none" w:sz="0" w:space="0" w:color="auto"/>
          </w:divBdr>
        </w:div>
        <w:div w:id="1510296371">
          <w:marLeft w:val="0"/>
          <w:marRight w:val="0"/>
          <w:marTop w:val="0"/>
          <w:marBottom w:val="0"/>
          <w:divBdr>
            <w:top w:val="none" w:sz="0" w:space="0" w:color="auto"/>
            <w:left w:val="none" w:sz="0" w:space="0" w:color="auto"/>
            <w:bottom w:val="none" w:sz="0" w:space="0" w:color="auto"/>
            <w:right w:val="none" w:sz="0" w:space="0" w:color="auto"/>
          </w:divBdr>
        </w:div>
        <w:div w:id="1513762401">
          <w:marLeft w:val="0"/>
          <w:marRight w:val="0"/>
          <w:marTop w:val="0"/>
          <w:marBottom w:val="0"/>
          <w:divBdr>
            <w:top w:val="none" w:sz="0" w:space="0" w:color="auto"/>
            <w:left w:val="none" w:sz="0" w:space="0" w:color="auto"/>
            <w:bottom w:val="none" w:sz="0" w:space="0" w:color="auto"/>
            <w:right w:val="none" w:sz="0" w:space="0" w:color="auto"/>
          </w:divBdr>
        </w:div>
        <w:div w:id="1521162352">
          <w:marLeft w:val="0"/>
          <w:marRight w:val="0"/>
          <w:marTop w:val="0"/>
          <w:marBottom w:val="0"/>
          <w:divBdr>
            <w:top w:val="none" w:sz="0" w:space="0" w:color="auto"/>
            <w:left w:val="none" w:sz="0" w:space="0" w:color="auto"/>
            <w:bottom w:val="none" w:sz="0" w:space="0" w:color="auto"/>
            <w:right w:val="none" w:sz="0" w:space="0" w:color="auto"/>
          </w:divBdr>
        </w:div>
        <w:div w:id="1565069202">
          <w:marLeft w:val="0"/>
          <w:marRight w:val="0"/>
          <w:marTop w:val="0"/>
          <w:marBottom w:val="0"/>
          <w:divBdr>
            <w:top w:val="none" w:sz="0" w:space="0" w:color="auto"/>
            <w:left w:val="none" w:sz="0" w:space="0" w:color="auto"/>
            <w:bottom w:val="none" w:sz="0" w:space="0" w:color="auto"/>
            <w:right w:val="none" w:sz="0" w:space="0" w:color="auto"/>
          </w:divBdr>
        </w:div>
        <w:div w:id="1566719990">
          <w:marLeft w:val="0"/>
          <w:marRight w:val="0"/>
          <w:marTop w:val="0"/>
          <w:marBottom w:val="0"/>
          <w:divBdr>
            <w:top w:val="none" w:sz="0" w:space="0" w:color="auto"/>
            <w:left w:val="none" w:sz="0" w:space="0" w:color="auto"/>
            <w:bottom w:val="none" w:sz="0" w:space="0" w:color="auto"/>
            <w:right w:val="none" w:sz="0" w:space="0" w:color="auto"/>
          </w:divBdr>
        </w:div>
        <w:div w:id="1583248526">
          <w:marLeft w:val="0"/>
          <w:marRight w:val="0"/>
          <w:marTop w:val="0"/>
          <w:marBottom w:val="0"/>
          <w:divBdr>
            <w:top w:val="none" w:sz="0" w:space="0" w:color="auto"/>
            <w:left w:val="none" w:sz="0" w:space="0" w:color="auto"/>
            <w:bottom w:val="none" w:sz="0" w:space="0" w:color="auto"/>
            <w:right w:val="none" w:sz="0" w:space="0" w:color="auto"/>
          </w:divBdr>
        </w:div>
        <w:div w:id="1584071185">
          <w:marLeft w:val="0"/>
          <w:marRight w:val="0"/>
          <w:marTop w:val="0"/>
          <w:marBottom w:val="0"/>
          <w:divBdr>
            <w:top w:val="none" w:sz="0" w:space="0" w:color="auto"/>
            <w:left w:val="none" w:sz="0" w:space="0" w:color="auto"/>
            <w:bottom w:val="none" w:sz="0" w:space="0" w:color="auto"/>
            <w:right w:val="none" w:sz="0" w:space="0" w:color="auto"/>
          </w:divBdr>
        </w:div>
        <w:div w:id="1592473517">
          <w:marLeft w:val="0"/>
          <w:marRight w:val="0"/>
          <w:marTop w:val="0"/>
          <w:marBottom w:val="0"/>
          <w:divBdr>
            <w:top w:val="none" w:sz="0" w:space="0" w:color="auto"/>
            <w:left w:val="none" w:sz="0" w:space="0" w:color="auto"/>
            <w:bottom w:val="none" w:sz="0" w:space="0" w:color="auto"/>
            <w:right w:val="none" w:sz="0" w:space="0" w:color="auto"/>
          </w:divBdr>
        </w:div>
        <w:div w:id="1594974845">
          <w:marLeft w:val="0"/>
          <w:marRight w:val="0"/>
          <w:marTop w:val="0"/>
          <w:marBottom w:val="0"/>
          <w:divBdr>
            <w:top w:val="none" w:sz="0" w:space="0" w:color="auto"/>
            <w:left w:val="none" w:sz="0" w:space="0" w:color="auto"/>
            <w:bottom w:val="none" w:sz="0" w:space="0" w:color="auto"/>
            <w:right w:val="none" w:sz="0" w:space="0" w:color="auto"/>
          </w:divBdr>
        </w:div>
        <w:div w:id="1609581261">
          <w:marLeft w:val="0"/>
          <w:marRight w:val="0"/>
          <w:marTop w:val="0"/>
          <w:marBottom w:val="0"/>
          <w:divBdr>
            <w:top w:val="none" w:sz="0" w:space="0" w:color="auto"/>
            <w:left w:val="none" w:sz="0" w:space="0" w:color="auto"/>
            <w:bottom w:val="none" w:sz="0" w:space="0" w:color="auto"/>
            <w:right w:val="none" w:sz="0" w:space="0" w:color="auto"/>
          </w:divBdr>
        </w:div>
        <w:div w:id="1621916479">
          <w:marLeft w:val="0"/>
          <w:marRight w:val="0"/>
          <w:marTop w:val="0"/>
          <w:marBottom w:val="0"/>
          <w:divBdr>
            <w:top w:val="none" w:sz="0" w:space="0" w:color="auto"/>
            <w:left w:val="none" w:sz="0" w:space="0" w:color="auto"/>
            <w:bottom w:val="none" w:sz="0" w:space="0" w:color="auto"/>
            <w:right w:val="none" w:sz="0" w:space="0" w:color="auto"/>
          </w:divBdr>
        </w:div>
        <w:div w:id="1631130129">
          <w:marLeft w:val="0"/>
          <w:marRight w:val="0"/>
          <w:marTop w:val="0"/>
          <w:marBottom w:val="0"/>
          <w:divBdr>
            <w:top w:val="none" w:sz="0" w:space="0" w:color="auto"/>
            <w:left w:val="none" w:sz="0" w:space="0" w:color="auto"/>
            <w:bottom w:val="none" w:sz="0" w:space="0" w:color="auto"/>
            <w:right w:val="none" w:sz="0" w:space="0" w:color="auto"/>
          </w:divBdr>
        </w:div>
        <w:div w:id="1631472752">
          <w:marLeft w:val="0"/>
          <w:marRight w:val="0"/>
          <w:marTop w:val="0"/>
          <w:marBottom w:val="0"/>
          <w:divBdr>
            <w:top w:val="none" w:sz="0" w:space="0" w:color="auto"/>
            <w:left w:val="none" w:sz="0" w:space="0" w:color="auto"/>
            <w:bottom w:val="none" w:sz="0" w:space="0" w:color="auto"/>
            <w:right w:val="none" w:sz="0" w:space="0" w:color="auto"/>
          </w:divBdr>
        </w:div>
        <w:div w:id="1631785447">
          <w:marLeft w:val="0"/>
          <w:marRight w:val="0"/>
          <w:marTop w:val="0"/>
          <w:marBottom w:val="0"/>
          <w:divBdr>
            <w:top w:val="none" w:sz="0" w:space="0" w:color="auto"/>
            <w:left w:val="none" w:sz="0" w:space="0" w:color="auto"/>
            <w:bottom w:val="none" w:sz="0" w:space="0" w:color="auto"/>
            <w:right w:val="none" w:sz="0" w:space="0" w:color="auto"/>
          </w:divBdr>
        </w:div>
        <w:div w:id="1641034763">
          <w:marLeft w:val="0"/>
          <w:marRight w:val="0"/>
          <w:marTop w:val="0"/>
          <w:marBottom w:val="0"/>
          <w:divBdr>
            <w:top w:val="none" w:sz="0" w:space="0" w:color="auto"/>
            <w:left w:val="none" w:sz="0" w:space="0" w:color="auto"/>
            <w:bottom w:val="none" w:sz="0" w:space="0" w:color="auto"/>
            <w:right w:val="none" w:sz="0" w:space="0" w:color="auto"/>
          </w:divBdr>
        </w:div>
        <w:div w:id="1668288878">
          <w:marLeft w:val="0"/>
          <w:marRight w:val="0"/>
          <w:marTop w:val="0"/>
          <w:marBottom w:val="0"/>
          <w:divBdr>
            <w:top w:val="none" w:sz="0" w:space="0" w:color="auto"/>
            <w:left w:val="none" w:sz="0" w:space="0" w:color="auto"/>
            <w:bottom w:val="none" w:sz="0" w:space="0" w:color="auto"/>
            <w:right w:val="none" w:sz="0" w:space="0" w:color="auto"/>
          </w:divBdr>
        </w:div>
        <w:div w:id="1672372496">
          <w:marLeft w:val="0"/>
          <w:marRight w:val="0"/>
          <w:marTop w:val="0"/>
          <w:marBottom w:val="0"/>
          <w:divBdr>
            <w:top w:val="none" w:sz="0" w:space="0" w:color="auto"/>
            <w:left w:val="none" w:sz="0" w:space="0" w:color="auto"/>
            <w:bottom w:val="none" w:sz="0" w:space="0" w:color="auto"/>
            <w:right w:val="none" w:sz="0" w:space="0" w:color="auto"/>
          </w:divBdr>
        </w:div>
        <w:div w:id="1678919079">
          <w:marLeft w:val="0"/>
          <w:marRight w:val="0"/>
          <w:marTop w:val="0"/>
          <w:marBottom w:val="0"/>
          <w:divBdr>
            <w:top w:val="none" w:sz="0" w:space="0" w:color="auto"/>
            <w:left w:val="none" w:sz="0" w:space="0" w:color="auto"/>
            <w:bottom w:val="none" w:sz="0" w:space="0" w:color="auto"/>
            <w:right w:val="none" w:sz="0" w:space="0" w:color="auto"/>
          </w:divBdr>
        </w:div>
        <w:div w:id="1679237557">
          <w:marLeft w:val="0"/>
          <w:marRight w:val="0"/>
          <w:marTop w:val="0"/>
          <w:marBottom w:val="0"/>
          <w:divBdr>
            <w:top w:val="none" w:sz="0" w:space="0" w:color="auto"/>
            <w:left w:val="none" w:sz="0" w:space="0" w:color="auto"/>
            <w:bottom w:val="none" w:sz="0" w:space="0" w:color="auto"/>
            <w:right w:val="none" w:sz="0" w:space="0" w:color="auto"/>
          </w:divBdr>
        </w:div>
        <w:div w:id="1688755736">
          <w:marLeft w:val="0"/>
          <w:marRight w:val="0"/>
          <w:marTop w:val="0"/>
          <w:marBottom w:val="0"/>
          <w:divBdr>
            <w:top w:val="none" w:sz="0" w:space="0" w:color="auto"/>
            <w:left w:val="none" w:sz="0" w:space="0" w:color="auto"/>
            <w:bottom w:val="none" w:sz="0" w:space="0" w:color="auto"/>
            <w:right w:val="none" w:sz="0" w:space="0" w:color="auto"/>
          </w:divBdr>
        </w:div>
        <w:div w:id="1711108155">
          <w:marLeft w:val="0"/>
          <w:marRight w:val="0"/>
          <w:marTop w:val="0"/>
          <w:marBottom w:val="0"/>
          <w:divBdr>
            <w:top w:val="none" w:sz="0" w:space="0" w:color="auto"/>
            <w:left w:val="none" w:sz="0" w:space="0" w:color="auto"/>
            <w:bottom w:val="none" w:sz="0" w:space="0" w:color="auto"/>
            <w:right w:val="none" w:sz="0" w:space="0" w:color="auto"/>
          </w:divBdr>
        </w:div>
        <w:div w:id="1720128186">
          <w:marLeft w:val="0"/>
          <w:marRight w:val="0"/>
          <w:marTop w:val="0"/>
          <w:marBottom w:val="0"/>
          <w:divBdr>
            <w:top w:val="none" w:sz="0" w:space="0" w:color="auto"/>
            <w:left w:val="none" w:sz="0" w:space="0" w:color="auto"/>
            <w:bottom w:val="none" w:sz="0" w:space="0" w:color="auto"/>
            <w:right w:val="none" w:sz="0" w:space="0" w:color="auto"/>
          </w:divBdr>
        </w:div>
        <w:div w:id="1721006553">
          <w:marLeft w:val="0"/>
          <w:marRight w:val="0"/>
          <w:marTop w:val="0"/>
          <w:marBottom w:val="0"/>
          <w:divBdr>
            <w:top w:val="none" w:sz="0" w:space="0" w:color="auto"/>
            <w:left w:val="none" w:sz="0" w:space="0" w:color="auto"/>
            <w:bottom w:val="none" w:sz="0" w:space="0" w:color="auto"/>
            <w:right w:val="none" w:sz="0" w:space="0" w:color="auto"/>
          </w:divBdr>
        </w:div>
        <w:div w:id="1733239085">
          <w:marLeft w:val="0"/>
          <w:marRight w:val="0"/>
          <w:marTop w:val="0"/>
          <w:marBottom w:val="0"/>
          <w:divBdr>
            <w:top w:val="none" w:sz="0" w:space="0" w:color="auto"/>
            <w:left w:val="none" w:sz="0" w:space="0" w:color="auto"/>
            <w:bottom w:val="none" w:sz="0" w:space="0" w:color="auto"/>
            <w:right w:val="none" w:sz="0" w:space="0" w:color="auto"/>
          </w:divBdr>
        </w:div>
        <w:div w:id="1745570628">
          <w:marLeft w:val="0"/>
          <w:marRight w:val="0"/>
          <w:marTop w:val="0"/>
          <w:marBottom w:val="0"/>
          <w:divBdr>
            <w:top w:val="none" w:sz="0" w:space="0" w:color="auto"/>
            <w:left w:val="none" w:sz="0" w:space="0" w:color="auto"/>
            <w:bottom w:val="none" w:sz="0" w:space="0" w:color="auto"/>
            <w:right w:val="none" w:sz="0" w:space="0" w:color="auto"/>
          </w:divBdr>
        </w:div>
        <w:div w:id="1745833495">
          <w:marLeft w:val="0"/>
          <w:marRight w:val="0"/>
          <w:marTop w:val="0"/>
          <w:marBottom w:val="0"/>
          <w:divBdr>
            <w:top w:val="none" w:sz="0" w:space="0" w:color="auto"/>
            <w:left w:val="none" w:sz="0" w:space="0" w:color="auto"/>
            <w:bottom w:val="none" w:sz="0" w:space="0" w:color="auto"/>
            <w:right w:val="none" w:sz="0" w:space="0" w:color="auto"/>
          </w:divBdr>
        </w:div>
        <w:div w:id="1748381144">
          <w:marLeft w:val="0"/>
          <w:marRight w:val="0"/>
          <w:marTop w:val="0"/>
          <w:marBottom w:val="0"/>
          <w:divBdr>
            <w:top w:val="none" w:sz="0" w:space="0" w:color="auto"/>
            <w:left w:val="none" w:sz="0" w:space="0" w:color="auto"/>
            <w:bottom w:val="none" w:sz="0" w:space="0" w:color="auto"/>
            <w:right w:val="none" w:sz="0" w:space="0" w:color="auto"/>
          </w:divBdr>
        </w:div>
        <w:div w:id="1755853273">
          <w:marLeft w:val="0"/>
          <w:marRight w:val="0"/>
          <w:marTop w:val="0"/>
          <w:marBottom w:val="0"/>
          <w:divBdr>
            <w:top w:val="none" w:sz="0" w:space="0" w:color="auto"/>
            <w:left w:val="none" w:sz="0" w:space="0" w:color="auto"/>
            <w:bottom w:val="none" w:sz="0" w:space="0" w:color="auto"/>
            <w:right w:val="none" w:sz="0" w:space="0" w:color="auto"/>
          </w:divBdr>
        </w:div>
        <w:div w:id="1761173967">
          <w:marLeft w:val="0"/>
          <w:marRight w:val="0"/>
          <w:marTop w:val="0"/>
          <w:marBottom w:val="0"/>
          <w:divBdr>
            <w:top w:val="none" w:sz="0" w:space="0" w:color="auto"/>
            <w:left w:val="none" w:sz="0" w:space="0" w:color="auto"/>
            <w:bottom w:val="none" w:sz="0" w:space="0" w:color="auto"/>
            <w:right w:val="none" w:sz="0" w:space="0" w:color="auto"/>
          </w:divBdr>
        </w:div>
        <w:div w:id="1767188929">
          <w:marLeft w:val="0"/>
          <w:marRight w:val="0"/>
          <w:marTop w:val="0"/>
          <w:marBottom w:val="0"/>
          <w:divBdr>
            <w:top w:val="none" w:sz="0" w:space="0" w:color="auto"/>
            <w:left w:val="none" w:sz="0" w:space="0" w:color="auto"/>
            <w:bottom w:val="none" w:sz="0" w:space="0" w:color="auto"/>
            <w:right w:val="none" w:sz="0" w:space="0" w:color="auto"/>
          </w:divBdr>
        </w:div>
        <w:div w:id="1770468206">
          <w:marLeft w:val="0"/>
          <w:marRight w:val="0"/>
          <w:marTop w:val="0"/>
          <w:marBottom w:val="0"/>
          <w:divBdr>
            <w:top w:val="none" w:sz="0" w:space="0" w:color="auto"/>
            <w:left w:val="none" w:sz="0" w:space="0" w:color="auto"/>
            <w:bottom w:val="none" w:sz="0" w:space="0" w:color="auto"/>
            <w:right w:val="none" w:sz="0" w:space="0" w:color="auto"/>
          </w:divBdr>
        </w:div>
        <w:div w:id="1775201462">
          <w:marLeft w:val="0"/>
          <w:marRight w:val="0"/>
          <w:marTop w:val="0"/>
          <w:marBottom w:val="0"/>
          <w:divBdr>
            <w:top w:val="none" w:sz="0" w:space="0" w:color="auto"/>
            <w:left w:val="none" w:sz="0" w:space="0" w:color="auto"/>
            <w:bottom w:val="none" w:sz="0" w:space="0" w:color="auto"/>
            <w:right w:val="none" w:sz="0" w:space="0" w:color="auto"/>
          </w:divBdr>
        </w:div>
        <w:div w:id="1779713324">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1812870142">
          <w:marLeft w:val="0"/>
          <w:marRight w:val="0"/>
          <w:marTop w:val="0"/>
          <w:marBottom w:val="0"/>
          <w:divBdr>
            <w:top w:val="none" w:sz="0" w:space="0" w:color="auto"/>
            <w:left w:val="none" w:sz="0" w:space="0" w:color="auto"/>
            <w:bottom w:val="none" w:sz="0" w:space="0" w:color="auto"/>
            <w:right w:val="none" w:sz="0" w:space="0" w:color="auto"/>
          </w:divBdr>
        </w:div>
        <w:div w:id="1829322441">
          <w:marLeft w:val="0"/>
          <w:marRight w:val="0"/>
          <w:marTop w:val="0"/>
          <w:marBottom w:val="0"/>
          <w:divBdr>
            <w:top w:val="none" w:sz="0" w:space="0" w:color="auto"/>
            <w:left w:val="none" w:sz="0" w:space="0" w:color="auto"/>
            <w:bottom w:val="none" w:sz="0" w:space="0" w:color="auto"/>
            <w:right w:val="none" w:sz="0" w:space="0" w:color="auto"/>
          </w:divBdr>
        </w:div>
        <w:div w:id="1834291872">
          <w:marLeft w:val="0"/>
          <w:marRight w:val="0"/>
          <w:marTop w:val="0"/>
          <w:marBottom w:val="0"/>
          <w:divBdr>
            <w:top w:val="none" w:sz="0" w:space="0" w:color="auto"/>
            <w:left w:val="none" w:sz="0" w:space="0" w:color="auto"/>
            <w:bottom w:val="none" w:sz="0" w:space="0" w:color="auto"/>
            <w:right w:val="none" w:sz="0" w:space="0" w:color="auto"/>
          </w:divBdr>
        </w:div>
        <w:div w:id="1853294907">
          <w:marLeft w:val="0"/>
          <w:marRight w:val="0"/>
          <w:marTop w:val="0"/>
          <w:marBottom w:val="0"/>
          <w:divBdr>
            <w:top w:val="none" w:sz="0" w:space="0" w:color="auto"/>
            <w:left w:val="none" w:sz="0" w:space="0" w:color="auto"/>
            <w:bottom w:val="none" w:sz="0" w:space="0" w:color="auto"/>
            <w:right w:val="none" w:sz="0" w:space="0" w:color="auto"/>
          </w:divBdr>
        </w:div>
        <w:div w:id="1854951881">
          <w:marLeft w:val="0"/>
          <w:marRight w:val="0"/>
          <w:marTop w:val="0"/>
          <w:marBottom w:val="0"/>
          <w:divBdr>
            <w:top w:val="none" w:sz="0" w:space="0" w:color="auto"/>
            <w:left w:val="none" w:sz="0" w:space="0" w:color="auto"/>
            <w:bottom w:val="none" w:sz="0" w:space="0" w:color="auto"/>
            <w:right w:val="none" w:sz="0" w:space="0" w:color="auto"/>
          </w:divBdr>
        </w:div>
        <w:div w:id="1858350984">
          <w:marLeft w:val="0"/>
          <w:marRight w:val="0"/>
          <w:marTop w:val="0"/>
          <w:marBottom w:val="0"/>
          <w:divBdr>
            <w:top w:val="none" w:sz="0" w:space="0" w:color="auto"/>
            <w:left w:val="none" w:sz="0" w:space="0" w:color="auto"/>
            <w:bottom w:val="none" w:sz="0" w:space="0" w:color="auto"/>
            <w:right w:val="none" w:sz="0" w:space="0" w:color="auto"/>
          </w:divBdr>
        </w:div>
        <w:div w:id="1859392352">
          <w:marLeft w:val="0"/>
          <w:marRight w:val="0"/>
          <w:marTop w:val="0"/>
          <w:marBottom w:val="0"/>
          <w:divBdr>
            <w:top w:val="none" w:sz="0" w:space="0" w:color="auto"/>
            <w:left w:val="none" w:sz="0" w:space="0" w:color="auto"/>
            <w:bottom w:val="none" w:sz="0" w:space="0" w:color="auto"/>
            <w:right w:val="none" w:sz="0" w:space="0" w:color="auto"/>
          </w:divBdr>
        </w:div>
        <w:div w:id="1870607355">
          <w:marLeft w:val="0"/>
          <w:marRight w:val="0"/>
          <w:marTop w:val="0"/>
          <w:marBottom w:val="0"/>
          <w:divBdr>
            <w:top w:val="none" w:sz="0" w:space="0" w:color="auto"/>
            <w:left w:val="none" w:sz="0" w:space="0" w:color="auto"/>
            <w:bottom w:val="none" w:sz="0" w:space="0" w:color="auto"/>
            <w:right w:val="none" w:sz="0" w:space="0" w:color="auto"/>
          </w:divBdr>
        </w:div>
        <w:div w:id="1872961062">
          <w:marLeft w:val="0"/>
          <w:marRight w:val="0"/>
          <w:marTop w:val="0"/>
          <w:marBottom w:val="0"/>
          <w:divBdr>
            <w:top w:val="none" w:sz="0" w:space="0" w:color="auto"/>
            <w:left w:val="none" w:sz="0" w:space="0" w:color="auto"/>
            <w:bottom w:val="none" w:sz="0" w:space="0" w:color="auto"/>
            <w:right w:val="none" w:sz="0" w:space="0" w:color="auto"/>
          </w:divBdr>
        </w:div>
        <w:div w:id="1884555676">
          <w:marLeft w:val="0"/>
          <w:marRight w:val="0"/>
          <w:marTop w:val="0"/>
          <w:marBottom w:val="0"/>
          <w:divBdr>
            <w:top w:val="none" w:sz="0" w:space="0" w:color="auto"/>
            <w:left w:val="none" w:sz="0" w:space="0" w:color="auto"/>
            <w:bottom w:val="none" w:sz="0" w:space="0" w:color="auto"/>
            <w:right w:val="none" w:sz="0" w:space="0" w:color="auto"/>
          </w:divBdr>
        </w:div>
        <w:div w:id="1896815856">
          <w:marLeft w:val="0"/>
          <w:marRight w:val="0"/>
          <w:marTop w:val="0"/>
          <w:marBottom w:val="0"/>
          <w:divBdr>
            <w:top w:val="none" w:sz="0" w:space="0" w:color="auto"/>
            <w:left w:val="none" w:sz="0" w:space="0" w:color="auto"/>
            <w:bottom w:val="none" w:sz="0" w:space="0" w:color="auto"/>
            <w:right w:val="none" w:sz="0" w:space="0" w:color="auto"/>
          </w:divBdr>
        </w:div>
        <w:div w:id="1940987360">
          <w:marLeft w:val="0"/>
          <w:marRight w:val="0"/>
          <w:marTop w:val="0"/>
          <w:marBottom w:val="0"/>
          <w:divBdr>
            <w:top w:val="none" w:sz="0" w:space="0" w:color="auto"/>
            <w:left w:val="none" w:sz="0" w:space="0" w:color="auto"/>
            <w:bottom w:val="none" w:sz="0" w:space="0" w:color="auto"/>
            <w:right w:val="none" w:sz="0" w:space="0" w:color="auto"/>
          </w:divBdr>
        </w:div>
        <w:div w:id="1952862134">
          <w:marLeft w:val="0"/>
          <w:marRight w:val="0"/>
          <w:marTop w:val="0"/>
          <w:marBottom w:val="0"/>
          <w:divBdr>
            <w:top w:val="none" w:sz="0" w:space="0" w:color="auto"/>
            <w:left w:val="none" w:sz="0" w:space="0" w:color="auto"/>
            <w:bottom w:val="none" w:sz="0" w:space="0" w:color="auto"/>
            <w:right w:val="none" w:sz="0" w:space="0" w:color="auto"/>
          </w:divBdr>
        </w:div>
        <w:div w:id="1962026993">
          <w:marLeft w:val="0"/>
          <w:marRight w:val="0"/>
          <w:marTop w:val="0"/>
          <w:marBottom w:val="0"/>
          <w:divBdr>
            <w:top w:val="none" w:sz="0" w:space="0" w:color="auto"/>
            <w:left w:val="none" w:sz="0" w:space="0" w:color="auto"/>
            <w:bottom w:val="none" w:sz="0" w:space="0" w:color="auto"/>
            <w:right w:val="none" w:sz="0" w:space="0" w:color="auto"/>
          </w:divBdr>
        </w:div>
        <w:div w:id="1964341849">
          <w:marLeft w:val="0"/>
          <w:marRight w:val="0"/>
          <w:marTop w:val="0"/>
          <w:marBottom w:val="0"/>
          <w:divBdr>
            <w:top w:val="none" w:sz="0" w:space="0" w:color="auto"/>
            <w:left w:val="none" w:sz="0" w:space="0" w:color="auto"/>
            <w:bottom w:val="none" w:sz="0" w:space="0" w:color="auto"/>
            <w:right w:val="none" w:sz="0" w:space="0" w:color="auto"/>
          </w:divBdr>
        </w:div>
        <w:div w:id="1976135310">
          <w:marLeft w:val="0"/>
          <w:marRight w:val="0"/>
          <w:marTop w:val="0"/>
          <w:marBottom w:val="0"/>
          <w:divBdr>
            <w:top w:val="none" w:sz="0" w:space="0" w:color="auto"/>
            <w:left w:val="none" w:sz="0" w:space="0" w:color="auto"/>
            <w:bottom w:val="none" w:sz="0" w:space="0" w:color="auto"/>
            <w:right w:val="none" w:sz="0" w:space="0" w:color="auto"/>
          </w:divBdr>
        </w:div>
        <w:div w:id="1989553609">
          <w:marLeft w:val="0"/>
          <w:marRight w:val="0"/>
          <w:marTop w:val="0"/>
          <w:marBottom w:val="0"/>
          <w:divBdr>
            <w:top w:val="none" w:sz="0" w:space="0" w:color="auto"/>
            <w:left w:val="none" w:sz="0" w:space="0" w:color="auto"/>
            <w:bottom w:val="none" w:sz="0" w:space="0" w:color="auto"/>
            <w:right w:val="none" w:sz="0" w:space="0" w:color="auto"/>
          </w:divBdr>
        </w:div>
        <w:div w:id="1999726857">
          <w:marLeft w:val="0"/>
          <w:marRight w:val="0"/>
          <w:marTop w:val="0"/>
          <w:marBottom w:val="0"/>
          <w:divBdr>
            <w:top w:val="none" w:sz="0" w:space="0" w:color="auto"/>
            <w:left w:val="none" w:sz="0" w:space="0" w:color="auto"/>
            <w:bottom w:val="none" w:sz="0" w:space="0" w:color="auto"/>
            <w:right w:val="none" w:sz="0" w:space="0" w:color="auto"/>
          </w:divBdr>
        </w:div>
        <w:div w:id="2011909239">
          <w:marLeft w:val="0"/>
          <w:marRight w:val="0"/>
          <w:marTop w:val="0"/>
          <w:marBottom w:val="0"/>
          <w:divBdr>
            <w:top w:val="none" w:sz="0" w:space="0" w:color="auto"/>
            <w:left w:val="none" w:sz="0" w:space="0" w:color="auto"/>
            <w:bottom w:val="none" w:sz="0" w:space="0" w:color="auto"/>
            <w:right w:val="none" w:sz="0" w:space="0" w:color="auto"/>
          </w:divBdr>
        </w:div>
        <w:div w:id="2028436098">
          <w:marLeft w:val="0"/>
          <w:marRight w:val="0"/>
          <w:marTop w:val="0"/>
          <w:marBottom w:val="0"/>
          <w:divBdr>
            <w:top w:val="none" w:sz="0" w:space="0" w:color="auto"/>
            <w:left w:val="none" w:sz="0" w:space="0" w:color="auto"/>
            <w:bottom w:val="none" w:sz="0" w:space="0" w:color="auto"/>
            <w:right w:val="none" w:sz="0" w:space="0" w:color="auto"/>
          </w:divBdr>
        </w:div>
        <w:div w:id="2032679070">
          <w:marLeft w:val="0"/>
          <w:marRight w:val="0"/>
          <w:marTop w:val="0"/>
          <w:marBottom w:val="0"/>
          <w:divBdr>
            <w:top w:val="none" w:sz="0" w:space="0" w:color="auto"/>
            <w:left w:val="none" w:sz="0" w:space="0" w:color="auto"/>
            <w:bottom w:val="none" w:sz="0" w:space="0" w:color="auto"/>
            <w:right w:val="none" w:sz="0" w:space="0" w:color="auto"/>
          </w:divBdr>
        </w:div>
        <w:div w:id="2035887489">
          <w:marLeft w:val="0"/>
          <w:marRight w:val="0"/>
          <w:marTop w:val="0"/>
          <w:marBottom w:val="0"/>
          <w:divBdr>
            <w:top w:val="none" w:sz="0" w:space="0" w:color="auto"/>
            <w:left w:val="none" w:sz="0" w:space="0" w:color="auto"/>
            <w:bottom w:val="none" w:sz="0" w:space="0" w:color="auto"/>
            <w:right w:val="none" w:sz="0" w:space="0" w:color="auto"/>
          </w:divBdr>
        </w:div>
        <w:div w:id="2040743100">
          <w:marLeft w:val="0"/>
          <w:marRight w:val="0"/>
          <w:marTop w:val="0"/>
          <w:marBottom w:val="0"/>
          <w:divBdr>
            <w:top w:val="none" w:sz="0" w:space="0" w:color="auto"/>
            <w:left w:val="none" w:sz="0" w:space="0" w:color="auto"/>
            <w:bottom w:val="none" w:sz="0" w:space="0" w:color="auto"/>
            <w:right w:val="none" w:sz="0" w:space="0" w:color="auto"/>
          </w:divBdr>
        </w:div>
        <w:div w:id="2046517649">
          <w:marLeft w:val="0"/>
          <w:marRight w:val="0"/>
          <w:marTop w:val="0"/>
          <w:marBottom w:val="0"/>
          <w:divBdr>
            <w:top w:val="none" w:sz="0" w:space="0" w:color="auto"/>
            <w:left w:val="none" w:sz="0" w:space="0" w:color="auto"/>
            <w:bottom w:val="none" w:sz="0" w:space="0" w:color="auto"/>
            <w:right w:val="none" w:sz="0" w:space="0" w:color="auto"/>
          </w:divBdr>
        </w:div>
        <w:div w:id="2052874562">
          <w:marLeft w:val="0"/>
          <w:marRight w:val="0"/>
          <w:marTop w:val="0"/>
          <w:marBottom w:val="0"/>
          <w:divBdr>
            <w:top w:val="none" w:sz="0" w:space="0" w:color="auto"/>
            <w:left w:val="none" w:sz="0" w:space="0" w:color="auto"/>
            <w:bottom w:val="none" w:sz="0" w:space="0" w:color="auto"/>
            <w:right w:val="none" w:sz="0" w:space="0" w:color="auto"/>
          </w:divBdr>
        </w:div>
        <w:div w:id="2057272971">
          <w:marLeft w:val="0"/>
          <w:marRight w:val="0"/>
          <w:marTop w:val="0"/>
          <w:marBottom w:val="0"/>
          <w:divBdr>
            <w:top w:val="none" w:sz="0" w:space="0" w:color="auto"/>
            <w:left w:val="none" w:sz="0" w:space="0" w:color="auto"/>
            <w:bottom w:val="none" w:sz="0" w:space="0" w:color="auto"/>
            <w:right w:val="none" w:sz="0" w:space="0" w:color="auto"/>
          </w:divBdr>
        </w:div>
        <w:div w:id="2058041416">
          <w:marLeft w:val="0"/>
          <w:marRight w:val="0"/>
          <w:marTop w:val="0"/>
          <w:marBottom w:val="0"/>
          <w:divBdr>
            <w:top w:val="none" w:sz="0" w:space="0" w:color="auto"/>
            <w:left w:val="none" w:sz="0" w:space="0" w:color="auto"/>
            <w:bottom w:val="none" w:sz="0" w:space="0" w:color="auto"/>
            <w:right w:val="none" w:sz="0" w:space="0" w:color="auto"/>
          </w:divBdr>
        </w:div>
        <w:div w:id="2076049942">
          <w:marLeft w:val="0"/>
          <w:marRight w:val="0"/>
          <w:marTop w:val="0"/>
          <w:marBottom w:val="0"/>
          <w:divBdr>
            <w:top w:val="none" w:sz="0" w:space="0" w:color="auto"/>
            <w:left w:val="none" w:sz="0" w:space="0" w:color="auto"/>
            <w:bottom w:val="none" w:sz="0" w:space="0" w:color="auto"/>
            <w:right w:val="none" w:sz="0" w:space="0" w:color="auto"/>
          </w:divBdr>
        </w:div>
        <w:div w:id="2081321835">
          <w:marLeft w:val="0"/>
          <w:marRight w:val="0"/>
          <w:marTop w:val="0"/>
          <w:marBottom w:val="0"/>
          <w:divBdr>
            <w:top w:val="none" w:sz="0" w:space="0" w:color="auto"/>
            <w:left w:val="none" w:sz="0" w:space="0" w:color="auto"/>
            <w:bottom w:val="none" w:sz="0" w:space="0" w:color="auto"/>
            <w:right w:val="none" w:sz="0" w:space="0" w:color="auto"/>
          </w:divBdr>
        </w:div>
        <w:div w:id="2094744002">
          <w:marLeft w:val="0"/>
          <w:marRight w:val="0"/>
          <w:marTop w:val="0"/>
          <w:marBottom w:val="0"/>
          <w:divBdr>
            <w:top w:val="none" w:sz="0" w:space="0" w:color="auto"/>
            <w:left w:val="none" w:sz="0" w:space="0" w:color="auto"/>
            <w:bottom w:val="none" w:sz="0" w:space="0" w:color="auto"/>
            <w:right w:val="none" w:sz="0" w:space="0" w:color="auto"/>
          </w:divBdr>
        </w:div>
        <w:div w:id="2094930856">
          <w:marLeft w:val="0"/>
          <w:marRight w:val="0"/>
          <w:marTop w:val="0"/>
          <w:marBottom w:val="0"/>
          <w:divBdr>
            <w:top w:val="none" w:sz="0" w:space="0" w:color="auto"/>
            <w:left w:val="none" w:sz="0" w:space="0" w:color="auto"/>
            <w:bottom w:val="none" w:sz="0" w:space="0" w:color="auto"/>
            <w:right w:val="none" w:sz="0" w:space="0" w:color="auto"/>
          </w:divBdr>
        </w:div>
        <w:div w:id="2095737080">
          <w:marLeft w:val="0"/>
          <w:marRight w:val="0"/>
          <w:marTop w:val="0"/>
          <w:marBottom w:val="0"/>
          <w:divBdr>
            <w:top w:val="none" w:sz="0" w:space="0" w:color="auto"/>
            <w:left w:val="none" w:sz="0" w:space="0" w:color="auto"/>
            <w:bottom w:val="none" w:sz="0" w:space="0" w:color="auto"/>
            <w:right w:val="none" w:sz="0" w:space="0" w:color="auto"/>
          </w:divBdr>
        </w:div>
        <w:div w:id="2099907079">
          <w:marLeft w:val="0"/>
          <w:marRight w:val="0"/>
          <w:marTop w:val="0"/>
          <w:marBottom w:val="0"/>
          <w:divBdr>
            <w:top w:val="none" w:sz="0" w:space="0" w:color="auto"/>
            <w:left w:val="none" w:sz="0" w:space="0" w:color="auto"/>
            <w:bottom w:val="none" w:sz="0" w:space="0" w:color="auto"/>
            <w:right w:val="none" w:sz="0" w:space="0" w:color="auto"/>
          </w:divBdr>
        </w:div>
        <w:div w:id="2101633036">
          <w:marLeft w:val="0"/>
          <w:marRight w:val="0"/>
          <w:marTop w:val="0"/>
          <w:marBottom w:val="0"/>
          <w:divBdr>
            <w:top w:val="none" w:sz="0" w:space="0" w:color="auto"/>
            <w:left w:val="none" w:sz="0" w:space="0" w:color="auto"/>
            <w:bottom w:val="none" w:sz="0" w:space="0" w:color="auto"/>
            <w:right w:val="none" w:sz="0" w:space="0" w:color="auto"/>
          </w:divBdr>
        </w:div>
        <w:div w:id="2117751302">
          <w:marLeft w:val="0"/>
          <w:marRight w:val="0"/>
          <w:marTop w:val="0"/>
          <w:marBottom w:val="0"/>
          <w:divBdr>
            <w:top w:val="none" w:sz="0" w:space="0" w:color="auto"/>
            <w:left w:val="none" w:sz="0" w:space="0" w:color="auto"/>
            <w:bottom w:val="none" w:sz="0" w:space="0" w:color="auto"/>
            <w:right w:val="none" w:sz="0" w:space="0" w:color="auto"/>
          </w:divBdr>
        </w:div>
        <w:div w:id="2118326840">
          <w:marLeft w:val="0"/>
          <w:marRight w:val="0"/>
          <w:marTop w:val="0"/>
          <w:marBottom w:val="0"/>
          <w:divBdr>
            <w:top w:val="none" w:sz="0" w:space="0" w:color="auto"/>
            <w:left w:val="none" w:sz="0" w:space="0" w:color="auto"/>
            <w:bottom w:val="none" w:sz="0" w:space="0" w:color="auto"/>
            <w:right w:val="none" w:sz="0" w:space="0" w:color="auto"/>
          </w:divBdr>
        </w:div>
        <w:div w:id="2138719516">
          <w:marLeft w:val="0"/>
          <w:marRight w:val="0"/>
          <w:marTop w:val="0"/>
          <w:marBottom w:val="0"/>
          <w:divBdr>
            <w:top w:val="none" w:sz="0" w:space="0" w:color="auto"/>
            <w:left w:val="none" w:sz="0" w:space="0" w:color="auto"/>
            <w:bottom w:val="none" w:sz="0" w:space="0" w:color="auto"/>
            <w:right w:val="none" w:sz="0" w:space="0" w:color="auto"/>
          </w:divBdr>
        </w:div>
        <w:div w:id="2140488754">
          <w:marLeft w:val="0"/>
          <w:marRight w:val="0"/>
          <w:marTop w:val="0"/>
          <w:marBottom w:val="0"/>
          <w:divBdr>
            <w:top w:val="none" w:sz="0" w:space="0" w:color="auto"/>
            <w:left w:val="none" w:sz="0" w:space="0" w:color="auto"/>
            <w:bottom w:val="none" w:sz="0" w:space="0" w:color="auto"/>
            <w:right w:val="none" w:sz="0" w:space="0" w:color="auto"/>
          </w:divBdr>
        </w:div>
        <w:div w:id="2142503005">
          <w:marLeft w:val="0"/>
          <w:marRight w:val="0"/>
          <w:marTop w:val="0"/>
          <w:marBottom w:val="0"/>
          <w:divBdr>
            <w:top w:val="none" w:sz="0" w:space="0" w:color="auto"/>
            <w:left w:val="none" w:sz="0" w:space="0" w:color="auto"/>
            <w:bottom w:val="none" w:sz="0" w:space="0" w:color="auto"/>
            <w:right w:val="none" w:sz="0" w:space="0" w:color="auto"/>
          </w:divBdr>
        </w:div>
      </w:divsChild>
    </w:div>
    <w:div w:id="398869513">
      <w:bodyDiv w:val="1"/>
      <w:marLeft w:val="0"/>
      <w:marRight w:val="0"/>
      <w:marTop w:val="0"/>
      <w:marBottom w:val="0"/>
      <w:divBdr>
        <w:top w:val="none" w:sz="0" w:space="0" w:color="auto"/>
        <w:left w:val="none" w:sz="0" w:space="0" w:color="auto"/>
        <w:bottom w:val="none" w:sz="0" w:space="0" w:color="auto"/>
        <w:right w:val="none" w:sz="0" w:space="0" w:color="auto"/>
      </w:divBdr>
      <w:divsChild>
        <w:div w:id="2030330120">
          <w:marLeft w:val="0"/>
          <w:marRight w:val="0"/>
          <w:marTop w:val="0"/>
          <w:marBottom w:val="0"/>
          <w:divBdr>
            <w:top w:val="none" w:sz="0" w:space="0" w:color="auto"/>
            <w:left w:val="none" w:sz="0" w:space="0" w:color="auto"/>
            <w:bottom w:val="none" w:sz="0" w:space="0" w:color="auto"/>
            <w:right w:val="none" w:sz="0" w:space="0" w:color="auto"/>
          </w:divBdr>
          <w:divsChild>
            <w:div w:id="271666855">
              <w:marLeft w:val="0"/>
              <w:marRight w:val="0"/>
              <w:marTop w:val="0"/>
              <w:marBottom w:val="0"/>
              <w:divBdr>
                <w:top w:val="none" w:sz="0" w:space="0" w:color="auto"/>
                <w:left w:val="none" w:sz="0" w:space="0" w:color="auto"/>
                <w:bottom w:val="none" w:sz="0" w:space="0" w:color="auto"/>
                <w:right w:val="none" w:sz="0" w:space="0" w:color="auto"/>
              </w:divBdr>
              <w:divsChild>
                <w:div w:id="2025939004">
                  <w:marLeft w:val="0"/>
                  <w:marRight w:val="0"/>
                  <w:marTop w:val="0"/>
                  <w:marBottom w:val="0"/>
                  <w:divBdr>
                    <w:top w:val="none" w:sz="0" w:space="0" w:color="auto"/>
                    <w:left w:val="none" w:sz="0" w:space="0" w:color="auto"/>
                    <w:bottom w:val="none" w:sz="0" w:space="0" w:color="auto"/>
                    <w:right w:val="none" w:sz="0" w:space="0" w:color="auto"/>
                  </w:divBdr>
                  <w:divsChild>
                    <w:div w:id="1616249766">
                      <w:marLeft w:val="0"/>
                      <w:marRight w:val="0"/>
                      <w:marTop w:val="0"/>
                      <w:marBottom w:val="0"/>
                      <w:divBdr>
                        <w:top w:val="none" w:sz="0" w:space="0" w:color="auto"/>
                        <w:left w:val="none" w:sz="0" w:space="0" w:color="auto"/>
                        <w:bottom w:val="none" w:sz="0" w:space="0" w:color="auto"/>
                        <w:right w:val="none" w:sz="0" w:space="0" w:color="auto"/>
                      </w:divBdr>
                      <w:divsChild>
                        <w:div w:id="1648893993">
                          <w:marLeft w:val="0"/>
                          <w:marRight w:val="0"/>
                          <w:marTop w:val="0"/>
                          <w:marBottom w:val="0"/>
                          <w:divBdr>
                            <w:top w:val="none" w:sz="0" w:space="0" w:color="auto"/>
                            <w:left w:val="none" w:sz="0" w:space="0" w:color="auto"/>
                            <w:bottom w:val="none" w:sz="0" w:space="0" w:color="auto"/>
                            <w:right w:val="none" w:sz="0" w:space="0" w:color="auto"/>
                          </w:divBdr>
                          <w:divsChild>
                            <w:div w:id="443311390">
                              <w:marLeft w:val="0"/>
                              <w:marRight w:val="0"/>
                              <w:marTop w:val="0"/>
                              <w:marBottom w:val="0"/>
                              <w:divBdr>
                                <w:top w:val="none" w:sz="0" w:space="0" w:color="auto"/>
                                <w:left w:val="none" w:sz="0" w:space="0" w:color="auto"/>
                                <w:bottom w:val="none" w:sz="0" w:space="0" w:color="auto"/>
                                <w:right w:val="none" w:sz="0" w:space="0" w:color="auto"/>
                              </w:divBdr>
                              <w:divsChild>
                                <w:div w:id="1968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45363">
      <w:bodyDiv w:val="1"/>
      <w:marLeft w:val="0"/>
      <w:marRight w:val="0"/>
      <w:marTop w:val="0"/>
      <w:marBottom w:val="0"/>
      <w:divBdr>
        <w:top w:val="none" w:sz="0" w:space="0" w:color="auto"/>
        <w:left w:val="none" w:sz="0" w:space="0" w:color="auto"/>
        <w:bottom w:val="none" w:sz="0" w:space="0" w:color="auto"/>
        <w:right w:val="none" w:sz="0" w:space="0" w:color="auto"/>
      </w:divBdr>
    </w:div>
    <w:div w:id="1439177919">
      <w:bodyDiv w:val="1"/>
      <w:marLeft w:val="0"/>
      <w:marRight w:val="0"/>
      <w:marTop w:val="0"/>
      <w:marBottom w:val="0"/>
      <w:divBdr>
        <w:top w:val="none" w:sz="0" w:space="0" w:color="auto"/>
        <w:left w:val="none" w:sz="0" w:space="0" w:color="auto"/>
        <w:bottom w:val="none" w:sz="0" w:space="0" w:color="auto"/>
        <w:right w:val="none" w:sz="0" w:space="0" w:color="auto"/>
      </w:divBdr>
    </w:div>
    <w:div w:id="1472477358">
      <w:bodyDiv w:val="1"/>
      <w:marLeft w:val="0"/>
      <w:marRight w:val="0"/>
      <w:marTop w:val="0"/>
      <w:marBottom w:val="0"/>
      <w:divBdr>
        <w:top w:val="none" w:sz="0" w:space="0" w:color="auto"/>
        <w:left w:val="none" w:sz="0" w:space="0" w:color="auto"/>
        <w:bottom w:val="none" w:sz="0" w:space="0" w:color="auto"/>
        <w:right w:val="none" w:sz="0" w:space="0" w:color="auto"/>
      </w:divBdr>
    </w:div>
    <w:div w:id="17367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E573-48BB-4454-A193-F2B65BA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Deason</dc:creator>
  <cp:keywords/>
  <dc:description/>
  <cp:lastModifiedBy>Solomone Fifita</cp:lastModifiedBy>
  <cp:revision>2</cp:revision>
  <cp:lastPrinted>2018-08-28T19:50:00Z</cp:lastPrinted>
  <dcterms:created xsi:type="dcterms:W3CDTF">2019-09-01T18:56:00Z</dcterms:created>
  <dcterms:modified xsi:type="dcterms:W3CDTF">2019-09-01T18:56:00Z</dcterms:modified>
</cp:coreProperties>
</file>